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83AA" w14:textId="77777777" w:rsidR="00301A70" w:rsidRDefault="00301A70" w:rsidP="004076AB">
      <w:pPr>
        <w:pStyle w:val="cmoldal"/>
      </w:pPr>
      <w:r w:rsidRPr="004076AB">
        <w:t>BUDAPESTI MŰSZAKI ÉS GAZDASÁGTUDOMÁNYI EGYETEM</w:t>
      </w:r>
    </w:p>
    <w:p w14:paraId="4A25FCE1" w14:textId="0B264397" w:rsidR="00301A70" w:rsidRDefault="002B6D06" w:rsidP="002B6D06">
      <w:pPr>
        <w:jc w:val="center"/>
      </w:pPr>
      <w:r w:rsidRPr="002B6D06">
        <w:rPr>
          <w:b/>
          <w:szCs w:val="24"/>
        </w:rPr>
        <w:t>Hallgatói Fegyelmi és Kártérítési Szabályzat</w:t>
      </w:r>
      <w:r>
        <w:rPr>
          <w:b/>
          <w:sz w:val="36"/>
          <w:szCs w:val="36"/>
        </w:rPr>
        <w:t xml:space="preserve"> </w:t>
      </w:r>
    </w:p>
    <w:p w14:paraId="5C906D51" w14:textId="144BAFA4" w:rsidR="00301A70" w:rsidRDefault="00301A70" w:rsidP="00ED29F6">
      <w:pPr>
        <w:pStyle w:val="cmoldalmegjegyzs"/>
      </w:pPr>
      <w:r>
        <w:br w:type="page"/>
      </w:r>
    </w:p>
    <w:p w14:paraId="1CD9B497" w14:textId="369DEB23" w:rsidR="00301A70" w:rsidRDefault="00301A70" w:rsidP="00187E79">
      <w:r w:rsidRPr="00187E79">
        <w:lastRenderedPageBreak/>
        <w:br w:type="page"/>
      </w:r>
      <w:r>
        <w:lastRenderedPageBreak/>
        <w:t>A Budapesti Műszaki és Gazdaságtudományi Egyete</w:t>
      </w:r>
      <w:r w:rsidR="004C3792">
        <w:t>m (a továbbiakban BME) Szenátus</w:t>
      </w:r>
      <w:r>
        <w:t xml:space="preserve"> </w:t>
      </w:r>
      <w:r w:rsidR="004C3792">
        <w:br/>
      </w:r>
      <w:r>
        <w:t>- a vonatkozó jogszabályok figyelembevételével és az Egyetemi Hallgatói Képviselet egyetértésével - az alábbi szabályzatot alkotja.</w:t>
      </w:r>
    </w:p>
    <w:p w14:paraId="66F1BEA0" w14:textId="77777777" w:rsidR="00301A70" w:rsidRPr="00435EE8" w:rsidRDefault="00301A70" w:rsidP="00D30D44">
      <w:pPr>
        <w:pStyle w:val="paragrafus"/>
      </w:pPr>
      <w:r w:rsidRPr="00435EE8">
        <w:t>1. §</w:t>
      </w:r>
    </w:p>
    <w:p w14:paraId="632ADBB0" w14:textId="77777777" w:rsidR="00301A70" w:rsidRDefault="00301A70" w:rsidP="008440D9">
      <w:pPr>
        <w:pStyle w:val="Cmsor1"/>
        <w:rPr>
          <w:szCs w:val="24"/>
        </w:rPr>
      </w:pPr>
      <w:bookmarkStart w:id="0" w:name="_Toc517694303"/>
      <w:bookmarkStart w:id="1" w:name="_Toc252268621"/>
      <w:bookmarkStart w:id="2" w:name="_Toc13128451"/>
      <w:r>
        <w:rPr>
          <w:szCs w:val="24"/>
        </w:rPr>
        <w:t>A szabályzat hatálya</w:t>
      </w:r>
      <w:bookmarkEnd w:id="0"/>
      <w:bookmarkEnd w:id="1"/>
      <w:bookmarkEnd w:id="2"/>
    </w:p>
    <w:p w14:paraId="7E3AC76D" w14:textId="77777777" w:rsidR="00301A70" w:rsidRPr="00237FA5" w:rsidRDefault="00301A70" w:rsidP="00D30D44">
      <w:pPr>
        <w:numPr>
          <w:ilvl w:val="0"/>
          <w:numId w:val="10"/>
        </w:numPr>
      </w:pPr>
      <w:r>
        <w:t xml:space="preserve">Ezt a szabályzatot kell alkalmazni a </w:t>
      </w:r>
      <w:r w:rsidR="00190240">
        <w:t>BME-vel</w:t>
      </w:r>
      <w:r>
        <w:t>, mint felsőoktatási intézménnyel hallgatói jogviszonyban állókra</w:t>
      </w:r>
      <w:r w:rsidR="003122BB">
        <w:t>, a hallgatói jogviszonyukból fakadó kötelezettségük vétkes megszegése, és/vagy a BME-nek okozott kár megtérítése megállapítása során</w:t>
      </w:r>
      <w:r>
        <w:t>.</w:t>
      </w:r>
    </w:p>
    <w:p w14:paraId="30018E4B" w14:textId="77777777" w:rsidR="00301A70" w:rsidRPr="00237FA5" w:rsidRDefault="00301A70" w:rsidP="00D30D44">
      <w:pPr>
        <w:numPr>
          <w:ilvl w:val="0"/>
          <w:numId w:val="10"/>
        </w:numPr>
      </w:pPr>
      <w:r>
        <w:t>Ha jogszabály vagy megállapodás eltérően nem rendelkezik, e szabályzat kiterjed a külföldi állampolgárságú hallgatókra is.</w:t>
      </w:r>
    </w:p>
    <w:p w14:paraId="46BCAA17" w14:textId="77777777" w:rsidR="00301A70" w:rsidRPr="00237FA5" w:rsidRDefault="00301A70" w:rsidP="00D30D44">
      <w:pPr>
        <w:numPr>
          <w:ilvl w:val="0"/>
          <w:numId w:val="10"/>
        </w:numPr>
      </w:pPr>
      <w:r w:rsidRPr="00F731E2">
        <w:t xml:space="preserve">Amennyiben a kötelességszegés vagy károkozás </w:t>
      </w:r>
      <w:r w:rsidR="003122BB" w:rsidRPr="00F731E2">
        <w:t>vendéghallgatói jogviszonnyal összefüggésben, vagy annak időtartama alatt</w:t>
      </w:r>
      <w:r w:rsidRPr="00F731E2">
        <w:t xml:space="preserve"> </w:t>
      </w:r>
      <w:r w:rsidR="005D4C1F">
        <w:t xml:space="preserve">következett be, </w:t>
      </w:r>
      <w:r w:rsidRPr="00F731E2">
        <w:t>e szabályzatot kell alkalmazni a hallgatói jogviszonyát szüneteltető személyre is.</w:t>
      </w:r>
    </w:p>
    <w:p w14:paraId="4ED5FBD6" w14:textId="77777777" w:rsidR="0057023D" w:rsidRPr="00237FA5" w:rsidRDefault="0057023D" w:rsidP="00D30D44">
      <w:pPr>
        <w:numPr>
          <w:ilvl w:val="0"/>
          <w:numId w:val="10"/>
        </w:numPr>
      </w:pPr>
      <w:r w:rsidRPr="00F731E2">
        <w:t xml:space="preserve">E szabályzatot kell alkalmazni azokra is, akik a BME-vel hallgatói jogviszonyban nem állnak, de más felsőoktatási intézménnyel fennálló hallgatói jogviszonyukhoz kapcsolódóan a BME-n oktatási </w:t>
      </w:r>
      <w:r w:rsidR="00BC344A" w:rsidRPr="00F731E2">
        <w:t>szolgáltatást vesznek igénybe.</w:t>
      </w:r>
    </w:p>
    <w:p w14:paraId="022B2586" w14:textId="77777777" w:rsidR="00A752A6" w:rsidRPr="00237FA5" w:rsidRDefault="00A752A6" w:rsidP="00D30D44">
      <w:pPr>
        <w:numPr>
          <w:ilvl w:val="0"/>
          <w:numId w:val="10"/>
        </w:numPr>
      </w:pPr>
      <w:r>
        <w:t>A Szabályzat hatálya kiterjed a BME hallgatók jogorvoslati kérelmeinek kezelésére.</w:t>
      </w:r>
    </w:p>
    <w:p w14:paraId="4C4B44EB" w14:textId="77777777" w:rsidR="00301A70" w:rsidRDefault="00301A70" w:rsidP="00451540">
      <w:pPr>
        <w:pStyle w:val="paragrafus"/>
      </w:pPr>
      <w:r>
        <w:t>2. §</w:t>
      </w:r>
    </w:p>
    <w:p w14:paraId="7E9FD0E6" w14:textId="77777777" w:rsidR="00301A70" w:rsidRDefault="00301A70" w:rsidP="008440D9">
      <w:pPr>
        <w:pStyle w:val="Cmsor1"/>
        <w:rPr>
          <w:szCs w:val="24"/>
        </w:rPr>
      </w:pPr>
      <w:bookmarkStart w:id="3" w:name="_Toc252268622"/>
      <w:bookmarkStart w:id="4" w:name="_Toc13128452"/>
      <w:r>
        <w:rPr>
          <w:szCs w:val="24"/>
        </w:rPr>
        <w:t>Fegyelmi felelősség, fegyelmi eljárás indítása</w:t>
      </w:r>
      <w:bookmarkEnd w:id="3"/>
      <w:bookmarkEnd w:id="4"/>
    </w:p>
    <w:p w14:paraId="541DFD1E" w14:textId="77777777" w:rsidR="00301A70" w:rsidRPr="00237FA5" w:rsidRDefault="00301A70" w:rsidP="00D30D44">
      <w:pPr>
        <w:numPr>
          <w:ilvl w:val="0"/>
          <w:numId w:val="11"/>
        </w:numPr>
      </w:pPr>
      <w:r>
        <w:t xml:space="preserve">Fegyelmi vétséget követ el a hallgató, ha </w:t>
      </w:r>
      <w:r w:rsidR="00256DFE" w:rsidRPr="009930FF">
        <w:rPr>
          <w:b/>
          <w:i/>
          <w:u w:val="single"/>
        </w:rPr>
        <w:t>az intézmény szabályzataiban vagy egyébként a hallgatói jogviszonyával, illetve a BME területén</w:t>
      </w:r>
      <w:r w:rsidR="009C2EEB" w:rsidRPr="009930FF">
        <w:rPr>
          <w:b/>
          <w:i/>
          <w:u w:val="single"/>
        </w:rPr>
        <w:t>, vagy gyakorlati képzés során</w:t>
      </w:r>
      <w:r w:rsidR="00256DFE" w:rsidRPr="009930FF">
        <w:rPr>
          <w:b/>
          <w:i/>
          <w:u w:val="single"/>
        </w:rPr>
        <w:t xml:space="preserve"> tanúsított magatartásával összefüggő jogszabályokban foglalt </w:t>
      </w:r>
      <w:r>
        <w:t>kötelezettségét</w:t>
      </w:r>
      <w:r w:rsidR="00256DFE">
        <w:t xml:space="preserve"> </w:t>
      </w:r>
      <w:r>
        <w:t>vétkesen és súlyosan (szándékosan vagy gondatlanul) megszegi.</w:t>
      </w:r>
      <w:r w:rsidR="008614E5">
        <w:rPr>
          <w:rStyle w:val="Lbjegyzet-hivatkozs"/>
        </w:rPr>
        <w:footnoteReference w:id="1"/>
      </w:r>
    </w:p>
    <w:p w14:paraId="1D844197" w14:textId="77777777" w:rsidR="00637EB5" w:rsidRPr="00237FA5" w:rsidRDefault="006F4837" w:rsidP="00D30D44">
      <w:pPr>
        <w:numPr>
          <w:ilvl w:val="0"/>
          <w:numId w:val="11"/>
        </w:numPr>
      </w:pPr>
      <w:r>
        <w:t>A szándékosan illetve súlyos gondatlansággal elkövetett jelentős súlyú fegyelmi vétség alapos gyanúja esetén, valamint ha az eljárás lefolytatását a hallgató maga ellen kéri, az eljárás megindítása kötelező.</w:t>
      </w:r>
    </w:p>
    <w:p w14:paraId="75D50196" w14:textId="77777777" w:rsidR="00301A70" w:rsidRPr="00237FA5" w:rsidRDefault="00301A70" w:rsidP="00D30D44">
      <w:pPr>
        <w:numPr>
          <w:ilvl w:val="0"/>
          <w:numId w:val="11"/>
        </w:numPr>
      </w:pPr>
      <w:r>
        <w:t>A hallgató fegyelmi felelősségére a 20</w:t>
      </w:r>
      <w:r w:rsidR="009B2D90" w:rsidRPr="009930FF">
        <w:rPr>
          <w:b/>
          <w:i/>
          <w:u w:val="single"/>
        </w:rPr>
        <w:t>11</w:t>
      </w:r>
      <w:r>
        <w:t xml:space="preserve">. évi </w:t>
      </w:r>
      <w:r w:rsidR="009B2D90" w:rsidRPr="009930FF">
        <w:rPr>
          <w:b/>
          <w:i/>
          <w:u w:val="single"/>
        </w:rPr>
        <w:t>CCIV</w:t>
      </w:r>
      <w:r w:rsidRPr="009930FF">
        <w:rPr>
          <w:b/>
          <w:i/>
          <w:u w:val="single"/>
        </w:rPr>
        <w:t>.</w:t>
      </w:r>
      <w:r>
        <w:t xml:space="preserve"> Törvény (továbbiakban: </w:t>
      </w:r>
      <w:r w:rsidR="009B2D90" w:rsidRPr="009930FF">
        <w:rPr>
          <w:b/>
          <w:i/>
          <w:u w:val="single"/>
        </w:rPr>
        <w:t>Nf</w:t>
      </w:r>
      <w:r w:rsidRPr="009930FF">
        <w:rPr>
          <w:b/>
          <w:i/>
          <w:u w:val="single"/>
        </w:rPr>
        <w:t xml:space="preserve">tv.) </w:t>
      </w:r>
      <w:r w:rsidR="009B2D90" w:rsidRPr="009930FF">
        <w:rPr>
          <w:b/>
          <w:i/>
          <w:u w:val="single"/>
        </w:rPr>
        <w:t>55</w:t>
      </w:r>
      <w:r>
        <w:t>. §-a vonatkozik.</w:t>
      </w:r>
      <w:r w:rsidR="009930FF">
        <w:rPr>
          <w:rStyle w:val="Lbjegyzet-hivatkozs"/>
        </w:rPr>
        <w:footnoteReference w:id="2"/>
      </w:r>
    </w:p>
    <w:p w14:paraId="07AADF7E" w14:textId="77777777" w:rsidR="00301A70" w:rsidRPr="00237FA5" w:rsidRDefault="00301A70" w:rsidP="00D30D44">
      <w:pPr>
        <w:numPr>
          <w:ilvl w:val="0"/>
          <w:numId w:val="11"/>
        </w:numPr>
      </w:pPr>
      <w:r>
        <w:t>Nincs helye a fegyelmi felelősségre vonásnak, ha a hallgató azért nem teljesítette, illetve azért szegte meg kötelezettségét, mert az őt irányító oktató vagy más alkalmazott utasítása jogszabályba vagy egyetemi szabályba ütközött.</w:t>
      </w:r>
    </w:p>
    <w:p w14:paraId="414C8BF6" w14:textId="77777777" w:rsidR="00301A70" w:rsidRPr="00237FA5" w:rsidRDefault="00301A70" w:rsidP="00D30D44">
      <w:pPr>
        <w:numPr>
          <w:ilvl w:val="0"/>
          <w:numId w:val="11"/>
        </w:numPr>
      </w:pPr>
      <w:r>
        <w:t xml:space="preserve">Nem lehet fegyelmi eljárást indítani, ha a fegyelmi vétségről való tudomásszerzés óta egy hónap, illetve a vétség elkövetése óta </w:t>
      </w:r>
      <w:r w:rsidR="009B2D90" w:rsidRPr="009930FF">
        <w:rPr>
          <w:b/>
          <w:i/>
          <w:u w:val="single"/>
        </w:rPr>
        <w:t>öt</w:t>
      </w:r>
      <w:r w:rsidR="009B2D90">
        <w:t xml:space="preserve"> </w:t>
      </w:r>
      <w:r>
        <w:t xml:space="preserve">hónap már eltelt. Az </w:t>
      </w:r>
      <w:r w:rsidR="009B2D90" w:rsidRPr="009930FF">
        <w:rPr>
          <w:b/>
          <w:i/>
          <w:u w:val="single"/>
        </w:rPr>
        <w:t>Nf</w:t>
      </w:r>
      <w:r>
        <w:t xml:space="preserve">tv. </w:t>
      </w:r>
      <w:r w:rsidR="009B2D90" w:rsidRPr="009930FF">
        <w:rPr>
          <w:b/>
          <w:i/>
          <w:u w:val="single"/>
        </w:rPr>
        <w:t>55</w:t>
      </w:r>
      <w:r w:rsidRPr="009930FF">
        <w:rPr>
          <w:b/>
          <w:i/>
          <w:u w:val="single"/>
        </w:rPr>
        <w:t>.</w:t>
      </w:r>
      <w:r>
        <w:t xml:space="preserve"> § (4) bekezdésében említett tudomásszerzésen a fegyelmi eljárás elrendelésére jogosult személy tudomásszerzését kell érteni.</w:t>
      </w:r>
      <w:r w:rsidR="009930FF">
        <w:rPr>
          <w:rStyle w:val="Lbjegyzet-hivatkozs"/>
        </w:rPr>
        <w:footnoteReference w:id="3"/>
      </w:r>
    </w:p>
    <w:p w14:paraId="30A23622" w14:textId="77777777" w:rsidR="00D30D44" w:rsidRDefault="00301A70" w:rsidP="00D30D44">
      <w:pPr>
        <w:numPr>
          <w:ilvl w:val="0"/>
          <w:numId w:val="11"/>
        </w:numPr>
      </w:pPr>
      <w:r>
        <w:t>Ha a fegyelmi eljárás alá vont személy ellen ugyanabban az ügyben büntetőeljárás folyik, annak jogerős befejezéséig, illetve, ha a fegyelmi eljárás alá vont személy</w:t>
      </w:r>
      <w:r w:rsidR="009930FF">
        <w:rPr>
          <w:rStyle w:val="Lbjegyzet-hivatkozs"/>
        </w:rPr>
        <w:footnoteReference w:id="4"/>
      </w:r>
      <w:r>
        <w:t xml:space="preserve"> tárgyaláson való részvétele önhibáján kívüli okból nem lehetséges, legfeljebb az akadály megszűnéséig a fegyelmi eljárást fel kell függeszteni.</w:t>
      </w:r>
    </w:p>
    <w:p w14:paraId="5A03810E" w14:textId="77777777" w:rsidR="00D30D44" w:rsidRDefault="00D30D44" w:rsidP="00071051">
      <w:pPr>
        <w:ind w:left="360"/>
      </w:pPr>
    </w:p>
    <w:p w14:paraId="537AD398" w14:textId="77777777" w:rsidR="00301A70" w:rsidRDefault="00301A70" w:rsidP="00C57467">
      <w:pPr>
        <w:pStyle w:val="paragrafus"/>
      </w:pPr>
      <w:r>
        <w:t>3. §</w:t>
      </w:r>
    </w:p>
    <w:p w14:paraId="2A14626F" w14:textId="77777777" w:rsidR="00301A70" w:rsidRDefault="00301A70" w:rsidP="008440D9">
      <w:pPr>
        <w:pStyle w:val="Cmsor1"/>
        <w:rPr>
          <w:szCs w:val="24"/>
        </w:rPr>
      </w:pPr>
      <w:bookmarkStart w:id="5" w:name="_Toc252268623"/>
      <w:bookmarkStart w:id="6" w:name="_Toc13128453"/>
      <w:r>
        <w:rPr>
          <w:szCs w:val="24"/>
        </w:rPr>
        <w:lastRenderedPageBreak/>
        <w:t>Fegyelmi büntetések</w:t>
      </w:r>
      <w:bookmarkEnd w:id="5"/>
      <w:bookmarkEnd w:id="6"/>
    </w:p>
    <w:p w14:paraId="6B110B99" w14:textId="77777777" w:rsidR="00301A70" w:rsidRPr="00440015" w:rsidRDefault="00301A70" w:rsidP="00CA18E2">
      <w:pPr>
        <w:numPr>
          <w:ilvl w:val="0"/>
          <w:numId w:val="12"/>
        </w:numPr>
      </w:pPr>
      <w:r>
        <w:t>A fegyelmi büntetés lehet</w:t>
      </w:r>
    </w:p>
    <w:p w14:paraId="07F6CD2B" w14:textId="77777777" w:rsidR="00301A70" w:rsidRPr="00440015" w:rsidRDefault="00301A70" w:rsidP="00CA18E2">
      <w:pPr>
        <w:numPr>
          <w:ilvl w:val="1"/>
          <w:numId w:val="12"/>
        </w:numPr>
      </w:pPr>
      <w:r>
        <w:t>megrovás,</w:t>
      </w:r>
    </w:p>
    <w:p w14:paraId="2229A358" w14:textId="77777777" w:rsidR="00301A70" w:rsidRPr="00440015" w:rsidRDefault="00301A70" w:rsidP="00CA18E2">
      <w:pPr>
        <w:numPr>
          <w:ilvl w:val="1"/>
          <w:numId w:val="12"/>
        </w:numPr>
      </w:pPr>
      <w:r>
        <w:t>szigorú megrovás,</w:t>
      </w:r>
    </w:p>
    <w:p w14:paraId="326C2DB4" w14:textId="77777777" w:rsidR="00301A70" w:rsidRPr="00440015" w:rsidRDefault="00301A70" w:rsidP="00CA18E2">
      <w:pPr>
        <w:numPr>
          <w:ilvl w:val="1"/>
          <w:numId w:val="12"/>
        </w:numPr>
      </w:pPr>
      <w:r>
        <w:t xml:space="preserve">a </w:t>
      </w:r>
      <w:r w:rsidR="005074AD">
        <w:t>T</w:t>
      </w:r>
      <w:r>
        <w:t xml:space="preserve">érítési és </w:t>
      </w:r>
      <w:r w:rsidR="000D1380">
        <w:t>J</w:t>
      </w:r>
      <w:r>
        <w:t xml:space="preserve">uttatási </w:t>
      </w:r>
      <w:r w:rsidR="005074AD">
        <w:t>S</w:t>
      </w:r>
      <w:r>
        <w:t>zabályzatban (BME TJS</w:t>
      </w:r>
      <w:r w:rsidR="00190240">
        <w:t>Z</w:t>
      </w:r>
      <w:r>
        <w:t>) meghatározott kedvezmények és juttatások</w:t>
      </w:r>
      <w:r w:rsidR="000413F8" w:rsidRPr="009930FF">
        <w:t xml:space="preserve"> </w:t>
      </w:r>
      <w:r w:rsidR="000413F8" w:rsidRPr="009930FF">
        <w:rPr>
          <w:b/>
          <w:i/>
          <w:u w:val="single"/>
        </w:rPr>
        <w:t>– legfeljebb hat hónap időtartamra szóló –</w:t>
      </w:r>
      <w:r>
        <w:t xml:space="preserve"> csökkentése, illetőleg megvonása,</w:t>
      </w:r>
      <w:r w:rsidR="009930FF">
        <w:rPr>
          <w:rStyle w:val="Lbjegyzet-hivatkozs"/>
        </w:rPr>
        <w:footnoteReference w:id="5"/>
      </w:r>
    </w:p>
    <w:p w14:paraId="7B2217D9" w14:textId="77777777" w:rsidR="00301A70" w:rsidRPr="00440015" w:rsidRDefault="00301A70" w:rsidP="00CA18E2">
      <w:pPr>
        <w:numPr>
          <w:ilvl w:val="1"/>
          <w:numId w:val="12"/>
        </w:numPr>
      </w:pPr>
      <w:r>
        <w:t>határozott időre – legfeljebb két félévre – szóló eltiltás a tanulmányok folytatásától,</w:t>
      </w:r>
    </w:p>
    <w:p w14:paraId="65F9C848" w14:textId="77777777" w:rsidR="00301A70" w:rsidRPr="00440015" w:rsidRDefault="00301A70" w:rsidP="00CA18E2">
      <w:pPr>
        <w:numPr>
          <w:ilvl w:val="1"/>
          <w:numId w:val="12"/>
        </w:numPr>
      </w:pPr>
      <w:r>
        <w:t>kizárás a BME-ről</w:t>
      </w:r>
      <w:r w:rsidR="009F6328">
        <w:t xml:space="preserve"> határozott időre</w:t>
      </w:r>
      <w:r>
        <w:t>.</w:t>
      </w:r>
    </w:p>
    <w:p w14:paraId="3A855417" w14:textId="77777777" w:rsidR="00301A70" w:rsidRDefault="00301A70" w:rsidP="00440015">
      <w:pPr>
        <w:numPr>
          <w:ilvl w:val="0"/>
          <w:numId w:val="12"/>
        </w:numPr>
      </w:pPr>
      <w:r>
        <w:t xml:space="preserve">A fegyelmi büntetés megállapításánál a cselekmény összes körülményére – így különösen a sérelmet szenvedettek körére, a következményekre, a jogsértő magatartás ismétlésére, az elkövetett cselekmény súlyára kell figyelemmel lenni. </w:t>
      </w:r>
      <w:r w:rsidR="009930FF">
        <w:rPr>
          <w:rStyle w:val="Lbjegyzet-hivatkozs"/>
        </w:rPr>
        <w:footnoteReference w:id="6"/>
      </w:r>
      <w:r>
        <w:t xml:space="preserve">Az (1) bekezdés (c) pontjában meghatározott fegyelmi büntetésként </w:t>
      </w:r>
      <w:r w:rsidR="005D4C1F">
        <w:t>a BME TJS</w:t>
      </w:r>
      <w:r w:rsidR="00190240">
        <w:t>Z</w:t>
      </w:r>
      <w:r w:rsidR="005D4C1F">
        <w:t xml:space="preserve"> 8.§ (1) b) pontjában felsorolt ösztöndíjakat</w:t>
      </w:r>
      <w:r>
        <w:t xml:space="preserve"> megvonni nem lehet. Az (1) bekezdés (d) pontjában meghatározott büntetés kiszabása </w:t>
      </w:r>
      <w:r w:rsidR="00616D85">
        <w:t>esetén az eltiltott félév(</w:t>
      </w:r>
      <w:proofErr w:type="spellStart"/>
      <w:r w:rsidR="00616D85">
        <w:t>ek</w:t>
      </w:r>
      <w:proofErr w:type="spellEnd"/>
      <w:r w:rsidR="00616D85">
        <w:t>)</w:t>
      </w:r>
      <w:proofErr w:type="spellStart"/>
      <w:r w:rsidR="00616D85">
        <w:t>et</w:t>
      </w:r>
      <w:proofErr w:type="spellEnd"/>
      <w:r w:rsidR="00616D85">
        <w:t xml:space="preserve"> passzív félév(</w:t>
      </w:r>
      <w:proofErr w:type="spellStart"/>
      <w:r w:rsidR="00616D85">
        <w:t>ek</w:t>
      </w:r>
      <w:proofErr w:type="spellEnd"/>
      <w:r w:rsidR="00616D85">
        <w:t>)ként kell kezelni. Az eltiltás csak még meg nem kezdett félév(</w:t>
      </w:r>
      <w:proofErr w:type="spellStart"/>
      <w:r w:rsidR="00616D85">
        <w:t>ek</w:t>
      </w:r>
      <w:proofErr w:type="spellEnd"/>
      <w:r w:rsidR="00616D85">
        <w:t xml:space="preserve">)re vonatkozhat. </w:t>
      </w:r>
      <w:r>
        <w:t>A fegyelmi eljárás megindítását, illetve a fegyelmi büntetés kiszabását a hallgató tanulmányi teljesítménye nem befolyásolja.</w:t>
      </w:r>
    </w:p>
    <w:p w14:paraId="27F7B958" w14:textId="77777777" w:rsidR="00CA18E2" w:rsidRPr="00440015" w:rsidRDefault="00CA18E2" w:rsidP="00440015">
      <w:pPr>
        <w:numPr>
          <w:ilvl w:val="0"/>
          <w:numId w:val="12"/>
        </w:numPr>
      </w:pPr>
    </w:p>
    <w:p w14:paraId="658E2747" w14:textId="77777777" w:rsidR="00301A70" w:rsidRDefault="00301A70" w:rsidP="00317AB8">
      <w:pPr>
        <w:pStyle w:val="paragrafus"/>
      </w:pPr>
      <w:r>
        <w:t>4. §</w:t>
      </w:r>
    </w:p>
    <w:p w14:paraId="1985C57B" w14:textId="77777777" w:rsidR="00301A70" w:rsidRDefault="00301A70" w:rsidP="008440D9">
      <w:pPr>
        <w:pStyle w:val="Cmsor1"/>
        <w:rPr>
          <w:szCs w:val="24"/>
        </w:rPr>
      </w:pPr>
      <w:bookmarkStart w:id="7" w:name="_Toc252268624"/>
      <w:bookmarkStart w:id="8" w:name="_Toc13128454"/>
      <w:r>
        <w:rPr>
          <w:szCs w:val="24"/>
        </w:rPr>
        <w:t>Fegyelmi eljárás</w:t>
      </w:r>
      <w:bookmarkEnd w:id="7"/>
      <w:bookmarkEnd w:id="8"/>
    </w:p>
    <w:p w14:paraId="3BF5CEBC" w14:textId="77777777" w:rsidR="00616D85" w:rsidRDefault="00616D85" w:rsidP="001651FE">
      <w:pPr>
        <w:numPr>
          <w:ilvl w:val="0"/>
          <w:numId w:val="13"/>
        </w:numPr>
      </w:pPr>
      <w:r>
        <w:t>Fegyelemi eljárást kezdeményezhet a BME bármely hallgatója vagy alkalmazottja.</w:t>
      </w:r>
    </w:p>
    <w:p w14:paraId="6008CDF9" w14:textId="77777777" w:rsidR="00301A70" w:rsidRDefault="00301A70" w:rsidP="001651FE">
      <w:pPr>
        <w:numPr>
          <w:ilvl w:val="0"/>
          <w:numId w:val="13"/>
        </w:numPr>
      </w:pPr>
      <w:r>
        <w:t>A fegyelmi eljárás megindítását az illetékes dékán rendeli el. Ha az ügyben több kar hallgatói is érintettek, akkor az illetékes dékánok együttesen járnak el.</w:t>
      </w:r>
    </w:p>
    <w:p w14:paraId="4CD2B4D4" w14:textId="77777777" w:rsidR="00301A70" w:rsidRDefault="00301A70" w:rsidP="001651FE">
      <w:pPr>
        <w:numPr>
          <w:ilvl w:val="0"/>
          <w:numId w:val="13"/>
        </w:numPr>
      </w:pPr>
      <w:r>
        <w:t>A tárgyalásra az eljárás alá vont hallgatót</w:t>
      </w:r>
      <w:r w:rsidR="00190240">
        <w:t>,</w:t>
      </w:r>
      <w:r>
        <w:t xml:space="preserve"> a tanú(</w:t>
      </w:r>
      <w:proofErr w:type="spellStart"/>
      <w:r>
        <w:t>ka</w:t>
      </w:r>
      <w:proofErr w:type="spellEnd"/>
      <w:r>
        <w:t>)t és a szakértő(</w:t>
      </w:r>
      <w:proofErr w:type="spellStart"/>
      <w:r>
        <w:t>ke</w:t>
      </w:r>
      <w:proofErr w:type="spellEnd"/>
      <w:r>
        <w:t>)t írásban kell megidézni.</w:t>
      </w:r>
      <w:r w:rsidR="009930FF">
        <w:rPr>
          <w:rStyle w:val="Lbjegyzet-hivatkozs"/>
        </w:rPr>
        <w:footnoteReference w:id="7"/>
      </w:r>
      <w:r>
        <w:t xml:space="preserve"> Az idézésben meg kell jelölni a fegyelmi eljárás alá vont hallgató nevét, a fegyelmi tárgyalás helyét és idejét, valamint azt is, hogy a címzettet milyen minőségben idézik. A megidézett figyelmét fel kell hívni arra, hogy személyazonosságának igazolására alkalmas, arcképes igazolványt hozzon magával. A szóban történő idézés megtörténtét az ügy irataiban fel</w:t>
      </w:r>
      <w:r w:rsidR="00F56AE6">
        <w:t xml:space="preserve"> kell jegyezni</w:t>
      </w:r>
      <w:r>
        <w:t>.</w:t>
      </w:r>
    </w:p>
    <w:p w14:paraId="4A700E05" w14:textId="77777777" w:rsidR="00301A70" w:rsidRDefault="00301A70" w:rsidP="001651FE">
      <w:pPr>
        <w:numPr>
          <w:ilvl w:val="0"/>
          <w:numId w:val="13"/>
        </w:numPr>
      </w:pPr>
      <w:r>
        <w:t>Az eljárás alá vont hallgató jogi képviselőt</w:t>
      </w:r>
      <w:r w:rsidR="00FB4DF3">
        <w:t>, illetve más meghatalmazottat</w:t>
      </w:r>
      <w:r w:rsidR="00821C38">
        <w:t xml:space="preserve"> (Ptk. 222-223.§)</w:t>
      </w:r>
      <w:r>
        <w:t xml:space="preserve"> is igénybe vehet.</w:t>
      </w:r>
    </w:p>
    <w:p w14:paraId="47D6A9F6" w14:textId="77777777" w:rsidR="00301A70" w:rsidRDefault="00301A70" w:rsidP="001651FE">
      <w:pPr>
        <w:numPr>
          <w:ilvl w:val="0"/>
          <w:numId w:val="13"/>
        </w:numPr>
      </w:pPr>
      <w:r>
        <w:t>A fegyelmi eljárás megindításáról – az indok megjelölésével – a hallgatót értesíteni kell.</w:t>
      </w:r>
      <w:r w:rsidR="00B62D09">
        <w:t xml:space="preserve"> </w:t>
      </w:r>
      <w:r w:rsidR="00B62D09" w:rsidRPr="009930FF">
        <w:rPr>
          <w:b/>
          <w:i/>
          <w:u w:val="single"/>
        </w:rPr>
        <w:t xml:space="preserve">Az értesítés a </w:t>
      </w:r>
      <w:proofErr w:type="spellStart"/>
      <w:r w:rsidR="00B62D09" w:rsidRPr="009930FF">
        <w:rPr>
          <w:b/>
          <w:i/>
          <w:u w:val="single"/>
        </w:rPr>
        <w:t>Neptun</w:t>
      </w:r>
      <w:proofErr w:type="spellEnd"/>
      <w:r w:rsidR="00B62D09" w:rsidRPr="009930FF">
        <w:rPr>
          <w:b/>
          <w:i/>
          <w:u w:val="single"/>
        </w:rPr>
        <w:t xml:space="preserve"> tanulmányi rendszerben a hallgató által a kapcsolattartásra megadott e-mail címére küldött elektronikus levél útján történik, melyet legkésőbb a tárgyalást megelőző 7. napig a hallgatónak meg kell küldeni.</w:t>
      </w:r>
      <w:r w:rsidR="009930FF">
        <w:rPr>
          <w:rStyle w:val="Lbjegyzet-hivatkozs"/>
          <w:b/>
          <w:i/>
          <w:u w:val="single"/>
        </w:rPr>
        <w:footnoteReference w:id="8"/>
      </w:r>
      <w:r>
        <w:t xml:space="preserve"> A fegyelmi eljárás során a hallgatót meg kell hallgatni, és biztosítani kell, hogy álláspontját, védekezését előadja. Ha a meghallgatáskor a hallgató vitatja a terhére rótt kötelezettségszegést, vagy a tényállás tisztázása egyébként is indokolja, tárgyalást kell tartani. A tárgyalásra a hallgatót </w:t>
      </w:r>
      <w:r w:rsidR="000D747E">
        <w:t xml:space="preserve">és a fegyelmi eljárás kezdeményezőjét </w:t>
      </w:r>
      <w:r>
        <w:t xml:space="preserve">meg kell hívni. A fegyelmi tárgyalást akkor is meg lehet tartani, ha a hallgató, illetve a meghatalmazott </w:t>
      </w:r>
      <w:r w:rsidR="009930FF">
        <w:rPr>
          <w:rStyle w:val="Lbjegyzet-hivatkozs"/>
        </w:rPr>
        <w:footnoteReference w:id="9"/>
      </w:r>
      <w:r>
        <w:t>szabályszerű értesítés ellenére sem jelent meg. Ha a hallgató kezdeményezte a fegyelmi eljárást, azt meg kell indítani, és le kell folytatni.</w:t>
      </w:r>
      <w:r w:rsidR="000D747E">
        <w:t xml:space="preserve"> A fegyelmi tárgyalást be kell szüntetni, ha a fegyelmi eljárás kezdeményezője, </w:t>
      </w:r>
      <w:r w:rsidR="000D747E">
        <w:lastRenderedPageBreak/>
        <w:t>szabályszerű értesítés ellenére harmadjára sem jelent meg.</w:t>
      </w:r>
      <w:r>
        <w:t xml:space="preserve"> Ha a hallgató bizonyítási kérelmét elutasítják, annak indokát a fegyelmi határozatban meg kell jelölni, kivéve, ha azt állapítják meg, hogy a hallgató nem követett el fegyelmi vétséget.</w:t>
      </w:r>
    </w:p>
    <w:p w14:paraId="11431B89" w14:textId="77777777" w:rsidR="00301A70" w:rsidRDefault="00301A70" w:rsidP="001651FE">
      <w:pPr>
        <w:numPr>
          <w:ilvl w:val="0"/>
          <w:numId w:val="13"/>
        </w:numPr>
      </w:pPr>
      <w:r>
        <w:t>A nem BME területén folytatott gyakorlati képzés keretében elkövetett kötelességszegésért a fegyelmi eljárást a BME-n kell lefolytatni.</w:t>
      </w:r>
      <w:r w:rsidR="00FD1B5B">
        <w:t xml:space="preserve"> </w:t>
      </w:r>
      <w:r w:rsidR="0006538D">
        <w:t>Az eljárás</w:t>
      </w:r>
      <w:r w:rsidR="00656256">
        <w:t xml:space="preserve"> nem menti fel a hallgatót a gyakorlati képzést folytató személ</w:t>
      </w:r>
      <w:r w:rsidR="000D747E">
        <w:t>l</w:t>
      </w:r>
      <w:r w:rsidR="00656256">
        <w:t>y</w:t>
      </w:r>
      <w:r w:rsidR="000D747E">
        <w:t>el</w:t>
      </w:r>
      <w:r w:rsidR="00656256">
        <w:t xml:space="preserve"> vagy szerveze</w:t>
      </w:r>
      <w:r w:rsidR="000D747E">
        <w:t>t</w:t>
      </w:r>
      <w:r w:rsidR="00656256">
        <w:t>t</w:t>
      </w:r>
      <w:r w:rsidR="0006538D">
        <w:t>el szemben viselt</w:t>
      </w:r>
      <w:r w:rsidR="00656256">
        <w:t xml:space="preserve"> </w:t>
      </w:r>
      <w:r w:rsidR="0006538D">
        <w:t xml:space="preserve">- </w:t>
      </w:r>
      <w:r w:rsidR="00656256">
        <w:t>jogszabály vagy megállapodás szerinti</w:t>
      </w:r>
      <w:r w:rsidR="0006538D">
        <w:t xml:space="preserve"> -</w:t>
      </w:r>
      <w:r w:rsidR="00656256">
        <w:t xml:space="preserve"> felelőssége alól.</w:t>
      </w:r>
    </w:p>
    <w:p w14:paraId="56841017" w14:textId="77777777" w:rsidR="00301A70" w:rsidRDefault="00301A70" w:rsidP="001651FE">
      <w:pPr>
        <w:numPr>
          <w:ilvl w:val="0"/>
          <w:numId w:val="13"/>
        </w:numPr>
      </w:pPr>
      <w:r>
        <w:t xml:space="preserve">Az elsőfokú fegyelmi jogkört a kar – legalább háromtagú – fegyelmi bizottsága gyakorolja. A fegyelmi bizottság tagjainak legalább egyharmadát a kari hallgatói </w:t>
      </w:r>
      <w:r w:rsidR="000D747E">
        <w:t xml:space="preserve">képviselet </w:t>
      </w:r>
      <w:r>
        <w:t>delegálja. A fegyelmi bizottság tanácskozási jogú tagja a</w:t>
      </w:r>
      <w:r w:rsidR="00D079FD">
        <w:t xml:space="preserve"> BME jogtanácsosa. A jogtanácsost</w:t>
      </w:r>
      <w:r>
        <w:t xml:space="preserve"> a </w:t>
      </w:r>
      <w:r w:rsidR="00D079FD">
        <w:t xml:space="preserve">GMF főigazgatója </w:t>
      </w:r>
      <w:r>
        <w:t>delegálja a fegyelmi bizottság elnökének kérésére.</w:t>
      </w:r>
    </w:p>
    <w:p w14:paraId="236A1A79" w14:textId="77777777" w:rsidR="00301A70" w:rsidRDefault="00301A70" w:rsidP="001651FE">
      <w:pPr>
        <w:numPr>
          <w:ilvl w:val="0"/>
          <w:numId w:val="13"/>
        </w:numPr>
      </w:pPr>
      <w:r>
        <w:t>A kari fegyelmi bizottság elnökét és oktatói tagjait a dékán, hallgatói tagjait a kari hallgatói képviselet – alapszabályában meghatározott módon – delegálja.</w:t>
      </w:r>
      <w:r w:rsidRPr="00D06468">
        <w:t xml:space="preserve"> </w:t>
      </w:r>
      <w:r>
        <w:t xml:space="preserve">Ha az ügyben több kar hallgatói is érintettek, akkor az illetékes </w:t>
      </w:r>
      <w:r w:rsidR="00FF6CD1" w:rsidRPr="009930FF">
        <w:rPr>
          <w:b/>
          <w:i/>
          <w:u w:val="single"/>
        </w:rPr>
        <w:t>karok és</w:t>
      </w:r>
      <w:r w:rsidR="009930FF">
        <w:rPr>
          <w:rStyle w:val="Lbjegyzet-hivatkozs"/>
          <w:b/>
          <w:i/>
          <w:u w:val="single"/>
        </w:rPr>
        <w:footnoteReference w:id="10"/>
      </w:r>
      <w:r w:rsidR="00FF6CD1" w:rsidRPr="009930FF">
        <w:t xml:space="preserve"> </w:t>
      </w:r>
      <w:r>
        <w:t>kari hallgatói képviseletek közösen járnak el</w:t>
      </w:r>
      <w:r w:rsidR="00FF6CD1" w:rsidRPr="009930FF">
        <w:rPr>
          <w:b/>
          <w:i/>
          <w:u w:val="single"/>
        </w:rPr>
        <w:t>, a bizottságba delegálóként karonként és hallgatói képviseletenként 1-1 fővel</w:t>
      </w:r>
      <w:r w:rsidR="009930FF">
        <w:rPr>
          <w:rStyle w:val="Lbjegyzet-hivatkozs"/>
          <w:b/>
          <w:i/>
          <w:u w:val="single"/>
        </w:rPr>
        <w:footnoteReference w:id="11"/>
      </w:r>
      <w:r>
        <w:t>.</w:t>
      </w:r>
    </w:p>
    <w:p w14:paraId="38865ED0" w14:textId="77777777" w:rsidR="00BE1209" w:rsidRDefault="00BE1209" w:rsidP="001651FE">
      <w:pPr>
        <w:numPr>
          <w:ilvl w:val="0"/>
          <w:numId w:val="13"/>
        </w:numPr>
      </w:pPr>
      <w:r>
        <w:t xml:space="preserve">Amennyiben több kar érintett, vagy a gazdasági és műszaki főigazgató, illetve a Kollégiumok Osztály vezetője által a </w:t>
      </w:r>
      <w:r w:rsidR="0098266F" w:rsidRPr="00FF6CD1">
        <w:t>4</w:t>
      </w:r>
      <w:r w:rsidRPr="00FF6CD1">
        <w:t>.§ (</w:t>
      </w:r>
      <w:r w:rsidR="00FF6CD1" w:rsidRPr="009930FF">
        <w:rPr>
          <w:b/>
          <w:i/>
          <w:u w:val="single"/>
        </w:rPr>
        <w:t>8</w:t>
      </w:r>
      <w:r w:rsidRPr="00FF6CD1">
        <w:t>)</w:t>
      </w:r>
      <w:r w:rsidR="009930FF">
        <w:rPr>
          <w:rStyle w:val="Lbjegyzet-hivatkozs"/>
        </w:rPr>
        <w:footnoteReference w:id="12"/>
      </w:r>
      <w:r>
        <w:t xml:space="preserve"> bekezdése szerint kezdeményezett közös fegyelmi eljárás esetén egy</w:t>
      </w:r>
      <w:r w:rsidR="00806E91">
        <w:t>etlen</w:t>
      </w:r>
      <w:r>
        <w:t xml:space="preserve"> fegyelmi bizottságot kell létrehozni, a jelen § (6) bekezdése értelemszerű alkalmazásával. A gazdasági és műszaki főigazgató vagy a Kollégiumok Osztály delegálja a fegyelmi bizottság tagjainak egyharmadát, amennyiben az eljárás kezdeményezése az ő hatáskörükbe tartozik.</w:t>
      </w:r>
    </w:p>
    <w:p w14:paraId="15F016A6" w14:textId="77777777" w:rsidR="00301A70" w:rsidRDefault="00301A70" w:rsidP="001651FE">
      <w:pPr>
        <w:numPr>
          <w:ilvl w:val="0"/>
          <w:numId w:val="13"/>
        </w:numPr>
      </w:pPr>
      <w:r>
        <w:t>A fegyelmi tárgyalás nyilvánosságáról a fegyelmi bizottság dönt.</w:t>
      </w:r>
    </w:p>
    <w:p w14:paraId="36A1A3EA" w14:textId="77777777" w:rsidR="00301A70" w:rsidRDefault="00301A70" w:rsidP="001651FE">
      <w:pPr>
        <w:numPr>
          <w:ilvl w:val="0"/>
          <w:numId w:val="13"/>
        </w:numPr>
      </w:pPr>
      <w:r>
        <w:t>Ha a fegyelmi eljárás alá vont személy ellen ugyanabban az ügyben büntető</w:t>
      </w:r>
      <w:r w:rsidR="00B62D09" w:rsidRPr="009930FF">
        <w:rPr>
          <w:b/>
          <w:i/>
          <w:u w:val="single"/>
        </w:rPr>
        <w:t>- vagy szabálysértési</w:t>
      </w:r>
      <w:r w:rsidR="009930FF">
        <w:rPr>
          <w:rStyle w:val="Lbjegyzet-hivatkozs"/>
          <w:b/>
          <w:i/>
          <w:u w:val="single"/>
        </w:rPr>
        <w:footnoteReference w:id="13"/>
      </w:r>
      <w:r w:rsidR="00B62D09">
        <w:t xml:space="preserve"> </w:t>
      </w:r>
      <w:r>
        <w:t>eljárás folyik, annak jogerős befejezéséig, illetve, ha a fegyelmi eljárás alá vont személy (4) bekezdés szerinti meghallgatása, tárgyaláson való részvétele önhibáján kívüli okból nem lehetséges, legfeljebb az akadály megszűnéséig a fegyelmi eljárást fel kell függeszteni. A fegyelmi eljárás felfüggesztése az elévülést megszakítja.</w:t>
      </w:r>
    </w:p>
    <w:p w14:paraId="721A1807" w14:textId="77777777" w:rsidR="00301A70" w:rsidRDefault="00301A70" w:rsidP="001651FE">
      <w:pPr>
        <w:numPr>
          <w:ilvl w:val="0"/>
          <w:numId w:val="13"/>
        </w:numPr>
      </w:pPr>
      <w:r>
        <w:t>A</w:t>
      </w:r>
      <w:r w:rsidR="007F4589">
        <w:t>z elsőfokú</w:t>
      </w:r>
      <w:r>
        <w:t xml:space="preserve"> fegyelmi eljárást – a (</w:t>
      </w:r>
      <w:r w:rsidR="00FB4DF3">
        <w:t>1</w:t>
      </w:r>
      <w:r w:rsidR="00B62D09" w:rsidRPr="009930FF">
        <w:rPr>
          <w:b/>
          <w:i/>
        </w:rPr>
        <w:t>1</w:t>
      </w:r>
      <w:r w:rsidR="00FB4DF3">
        <w:t>)</w:t>
      </w:r>
      <w:r w:rsidR="009930FF">
        <w:rPr>
          <w:rStyle w:val="Lbjegyzet-hivatkozs"/>
        </w:rPr>
        <w:footnoteReference w:id="14"/>
      </w:r>
      <w:r>
        <w:t xml:space="preserve"> bekezdésben foglaltak kivételével</w:t>
      </w:r>
      <w:r w:rsidR="009930FF">
        <w:rPr>
          <w:rStyle w:val="Lbjegyzet-hivatkozs"/>
        </w:rPr>
        <w:footnoteReference w:id="15"/>
      </w:r>
      <w:r w:rsidR="00B62D09">
        <w:t xml:space="preserve"> </w:t>
      </w:r>
      <w:r>
        <w:t>– egy hónapon belül be kell fejezni.</w:t>
      </w:r>
    </w:p>
    <w:p w14:paraId="6E18C471" w14:textId="77777777" w:rsidR="00301A70" w:rsidRDefault="00301A70" w:rsidP="001651FE">
      <w:pPr>
        <w:numPr>
          <w:ilvl w:val="0"/>
          <w:numId w:val="13"/>
        </w:numPr>
      </w:pPr>
      <w:r>
        <w:t xml:space="preserve">Ha a fegyelmi eljárás során bűncselekmény elkövetésének alapos gyanúja merül fel, a dékán </w:t>
      </w:r>
      <w:r w:rsidR="00BE1209">
        <w:t xml:space="preserve">jogosult </w:t>
      </w:r>
      <w:r>
        <w:t xml:space="preserve">feljelentést </w:t>
      </w:r>
      <w:r w:rsidR="00BE1209">
        <w:t>tenni</w:t>
      </w:r>
      <w:r>
        <w:t>.</w:t>
      </w:r>
    </w:p>
    <w:p w14:paraId="473525A7" w14:textId="77777777" w:rsidR="00301A70" w:rsidRDefault="00301A70" w:rsidP="001651FE">
      <w:pPr>
        <w:numPr>
          <w:ilvl w:val="0"/>
          <w:numId w:val="13"/>
        </w:numPr>
      </w:pPr>
      <w:r>
        <w:t xml:space="preserve">Nem </w:t>
      </w:r>
      <w:r w:rsidR="00BE1209">
        <w:t xml:space="preserve">lehet a fegyelmi </w:t>
      </w:r>
      <w:r w:rsidR="007A3143" w:rsidRPr="004F0C55">
        <w:rPr>
          <w:b/>
          <w:i/>
          <w:u w:val="single"/>
        </w:rPr>
        <w:t>bizottság</w:t>
      </w:r>
      <w:r w:rsidR="004F0C55">
        <w:rPr>
          <w:rStyle w:val="Lbjegyzet-hivatkozs"/>
          <w:b/>
          <w:i/>
          <w:u w:val="single"/>
        </w:rPr>
        <w:footnoteReference w:id="16"/>
      </w:r>
      <w:r w:rsidR="007A3143">
        <w:t xml:space="preserve"> </w:t>
      </w:r>
      <w:r w:rsidR="00BE1209">
        <w:t>tagja</w:t>
      </w:r>
      <w:r>
        <w:t xml:space="preserve"> az adott ügyben</w:t>
      </w:r>
    </w:p>
    <w:p w14:paraId="5CF24238" w14:textId="77777777" w:rsidR="00301A70" w:rsidRDefault="00301A70" w:rsidP="001651FE">
      <w:pPr>
        <w:numPr>
          <w:ilvl w:val="1"/>
          <w:numId w:val="13"/>
        </w:numPr>
      </w:pPr>
      <w:r>
        <w:t xml:space="preserve">az eljárás alá vont személy </w:t>
      </w:r>
      <w:r w:rsidR="00BE1209">
        <w:t xml:space="preserve">közeli </w:t>
      </w:r>
      <w:r>
        <w:t>hozzátartozója,</w:t>
      </w:r>
    </w:p>
    <w:p w14:paraId="54E35448" w14:textId="77777777" w:rsidR="00301A70" w:rsidRDefault="00301A70" w:rsidP="001651FE">
      <w:pPr>
        <w:numPr>
          <w:ilvl w:val="1"/>
          <w:numId w:val="13"/>
        </w:numPr>
      </w:pPr>
      <w:r>
        <w:t>akinek az elbírálandó cselekmény közvetlenül sérelmet vagy hátrányt okozott,</w:t>
      </w:r>
    </w:p>
    <w:p w14:paraId="30252440" w14:textId="77777777" w:rsidR="00301A70" w:rsidRDefault="00301A70" w:rsidP="001651FE">
      <w:pPr>
        <w:numPr>
          <w:ilvl w:val="1"/>
          <w:numId w:val="13"/>
        </w:numPr>
      </w:pPr>
      <w:r>
        <w:t>aki az eljárás alá vont személlyel perben, haragban áll,</w:t>
      </w:r>
    </w:p>
    <w:p w14:paraId="1BEC79C7" w14:textId="77777777" w:rsidR="00806E91" w:rsidRDefault="00301A70" w:rsidP="001651FE">
      <w:pPr>
        <w:numPr>
          <w:ilvl w:val="1"/>
          <w:numId w:val="13"/>
        </w:numPr>
      </w:pPr>
      <w:r>
        <w:t>akitől az ügy tárgyilagos megítélése egyéb okból nem várható el</w:t>
      </w:r>
      <w:r w:rsidR="00806E91">
        <w:t>,</w:t>
      </w:r>
    </w:p>
    <w:p w14:paraId="5A08888E" w14:textId="77777777" w:rsidR="001651FE" w:rsidRDefault="00806E91" w:rsidP="001651FE">
      <w:pPr>
        <w:numPr>
          <w:ilvl w:val="1"/>
          <w:numId w:val="13"/>
        </w:numPr>
      </w:pPr>
      <w:r>
        <w:t>a másodfokon eljárni jogosult vezető</w:t>
      </w:r>
      <w:r w:rsidR="00301A70">
        <w:t>.</w:t>
      </w:r>
    </w:p>
    <w:p w14:paraId="146B9172" w14:textId="77777777" w:rsidR="00301A70" w:rsidRDefault="00301A70" w:rsidP="00E60DDD">
      <w:pPr>
        <w:pStyle w:val="1aifelsorolsutn"/>
      </w:pPr>
      <w:r>
        <w:t>A fegyelmi bizottság tagjai az összeférhetetlenséget – annak okának megjelölésével – kötelesek a dékánnak bejelenteni.</w:t>
      </w:r>
    </w:p>
    <w:p w14:paraId="7DB77E6E" w14:textId="77777777" w:rsidR="00301A70" w:rsidRDefault="00301A70" w:rsidP="001651FE">
      <w:pPr>
        <w:numPr>
          <w:ilvl w:val="0"/>
          <w:numId w:val="13"/>
        </w:numPr>
      </w:pPr>
      <w:r>
        <w:t xml:space="preserve">Összeférhetetlenségi indítványt az eljárás alá vont hallgató és a </w:t>
      </w:r>
      <w:r w:rsidR="00806E91">
        <w:t>meghatalmazott</w:t>
      </w:r>
      <w:r>
        <w:t xml:space="preserve"> is tehet a fegyelmi tárgyalás </w:t>
      </w:r>
      <w:r w:rsidR="00FB4DF3">
        <w:t>megkezdéséig</w:t>
      </w:r>
      <w:r>
        <w:t xml:space="preserve">. </w:t>
      </w:r>
      <w:r w:rsidR="00FB4DF3">
        <w:t xml:space="preserve">Ezt követően a hallgató </w:t>
      </w:r>
      <w:r w:rsidR="00806E91">
        <w:t xml:space="preserve">illetve meghatalmazottja csak akkor tehet összeférhetetlenségi indítványt, ha igazolja, hogy az összeférhetetlenségi okról </w:t>
      </w:r>
      <w:r w:rsidR="00806E91">
        <w:lastRenderedPageBreak/>
        <w:t xml:space="preserve">való tudomásszerzést követően haladéktalanul intézkedett a beadvány benyújtásáról. </w:t>
      </w:r>
      <w:r>
        <w:t>Az indítványt jegyzőkönyvbe kell foglalni</w:t>
      </w:r>
      <w:r w:rsidR="00806E91">
        <w:t>, illetve az iratokhoz kell csatolni</w:t>
      </w:r>
      <w:r>
        <w:t>.</w:t>
      </w:r>
    </w:p>
    <w:p w14:paraId="037A2EC3" w14:textId="77777777" w:rsidR="00301A70" w:rsidRDefault="00301A70" w:rsidP="001651FE">
      <w:pPr>
        <w:numPr>
          <w:ilvl w:val="0"/>
          <w:numId w:val="13"/>
        </w:numPr>
      </w:pPr>
      <w:r>
        <w:t xml:space="preserve">Az összeférhetetlenségről a fegyelmi bizottság zárt ülésen határoz. Az indítvány elfogadását, illetve elutasítását határozatba kell foglalni. Az indítvány elfogadása esetén az új bizottsági tag kijelöléséig a fegyelmi tárgyalást el kell </w:t>
      </w:r>
      <w:r w:rsidR="00FB4DF3">
        <w:t>halasztani</w:t>
      </w:r>
      <w:r>
        <w:t>.</w:t>
      </w:r>
      <w:r w:rsidR="006B7083">
        <w:t xml:space="preserve"> </w:t>
      </w:r>
      <w:r w:rsidR="00806E91">
        <w:t>Az indítvány elutasítása ellen másodfokú eljárást kezdeményezhet a hallgató. A másodfokú eljárás kezdeményezése esetén annak elbírálásáig a határidők szünetelnek.</w:t>
      </w:r>
    </w:p>
    <w:p w14:paraId="0160986E" w14:textId="550BFC24" w:rsidR="007B626E" w:rsidRDefault="005177D7" w:rsidP="001651FE">
      <w:pPr>
        <w:numPr>
          <w:ilvl w:val="0"/>
          <w:numId w:val="13"/>
        </w:numPr>
      </w:pPr>
      <w:r w:rsidRPr="005177D7">
        <w:rPr>
          <w:b/>
          <w:bCs/>
          <w:i/>
          <w:iCs/>
          <w:u w:val="single"/>
        </w:rPr>
        <w:t>A Fegyelmi Szabályzat alapján hozott döntés ellen</w:t>
      </w:r>
      <w:r>
        <w:rPr>
          <w:b/>
          <w:bCs/>
          <w:i/>
          <w:iCs/>
          <w:u w:val="single"/>
        </w:rPr>
        <w:t>i jogorvoslatra</w:t>
      </w:r>
      <w:r w:rsidRPr="005177D7">
        <w:rPr>
          <w:b/>
          <w:bCs/>
          <w:i/>
          <w:iCs/>
          <w:u w:val="single"/>
        </w:rPr>
        <w:t xml:space="preserve"> a </w:t>
      </w:r>
      <w:proofErr w:type="spellStart"/>
      <w:r w:rsidRPr="005177D7">
        <w:rPr>
          <w:b/>
          <w:bCs/>
          <w:i/>
          <w:iCs/>
          <w:u w:val="single"/>
        </w:rPr>
        <w:t>TVSz</w:t>
      </w:r>
      <w:proofErr w:type="spellEnd"/>
      <w:r w:rsidRPr="005177D7">
        <w:rPr>
          <w:b/>
          <w:bCs/>
          <w:i/>
          <w:iCs/>
          <w:u w:val="single"/>
        </w:rPr>
        <w:t xml:space="preserve"> </w:t>
      </w:r>
      <w:r>
        <w:rPr>
          <w:b/>
          <w:bCs/>
          <w:i/>
          <w:iCs/>
          <w:u w:val="single"/>
        </w:rPr>
        <w:t>vonatkozó</w:t>
      </w:r>
      <w:r w:rsidRPr="005177D7">
        <w:rPr>
          <w:b/>
          <w:bCs/>
          <w:i/>
          <w:iCs/>
          <w:u w:val="single"/>
        </w:rPr>
        <w:t xml:space="preserve"> rendelkezéseit kell alkalmazni</w:t>
      </w:r>
      <w:r w:rsidRPr="005177D7">
        <w:t>.</w:t>
      </w:r>
      <w:r>
        <w:rPr>
          <w:rStyle w:val="Lbjegyzet-hivatkozs"/>
        </w:rPr>
        <w:footnoteReference w:id="17"/>
      </w:r>
    </w:p>
    <w:p w14:paraId="35B7DDED" w14:textId="69C9904E" w:rsidR="005177D7" w:rsidRDefault="005177D7" w:rsidP="001651FE">
      <w:pPr>
        <w:numPr>
          <w:ilvl w:val="0"/>
          <w:numId w:val="13"/>
        </w:numPr>
      </w:pPr>
      <w:r>
        <w:rPr>
          <w:rStyle w:val="Lbjegyzet-hivatkozs"/>
        </w:rPr>
        <w:footnoteReference w:id="18"/>
      </w:r>
    </w:p>
    <w:p w14:paraId="6EFB5365" w14:textId="14C9E2A1" w:rsidR="00301A70" w:rsidRDefault="00301A70" w:rsidP="001651FE">
      <w:pPr>
        <w:numPr>
          <w:ilvl w:val="0"/>
          <w:numId w:val="13"/>
        </w:numPr>
      </w:pPr>
      <w:r>
        <w:t>A dékán tartós akadályoztatása esetén kijelölt helyettese jogosult a fegyelmi eljárás megindításának elrendelésére</w:t>
      </w:r>
      <w:r w:rsidR="005177D7">
        <w:t>.</w:t>
      </w:r>
      <w:r w:rsidR="005177D7">
        <w:rPr>
          <w:rStyle w:val="Lbjegyzet-hivatkozs"/>
        </w:rPr>
        <w:footnoteReference w:id="19"/>
      </w:r>
    </w:p>
    <w:p w14:paraId="3ABB2D32" w14:textId="77777777" w:rsidR="00301A70" w:rsidRDefault="00301A70" w:rsidP="001651FE">
      <w:pPr>
        <w:numPr>
          <w:ilvl w:val="0"/>
          <w:numId w:val="13"/>
        </w:numPr>
      </w:pPr>
      <w:r>
        <w:t>Végrehajtani csak jogerős fegyelmi határozatot lehet.</w:t>
      </w:r>
    </w:p>
    <w:p w14:paraId="39C1B965" w14:textId="77777777" w:rsidR="00301A70" w:rsidRDefault="00301A70" w:rsidP="001651FE">
      <w:pPr>
        <w:numPr>
          <w:ilvl w:val="0"/>
          <w:numId w:val="13"/>
        </w:numPr>
      </w:pPr>
      <w:r>
        <w:t xml:space="preserve">A hallgató és a </w:t>
      </w:r>
      <w:r w:rsidR="00806E91">
        <w:t>meghatalmazott</w:t>
      </w:r>
      <w:r>
        <w:t xml:space="preserve"> jogai:</w:t>
      </w:r>
    </w:p>
    <w:p w14:paraId="57F2368D" w14:textId="77777777" w:rsidR="00301A70" w:rsidRDefault="00301A70" w:rsidP="00E23BDE">
      <w:pPr>
        <w:numPr>
          <w:ilvl w:val="1"/>
          <w:numId w:val="13"/>
        </w:numPr>
      </w:pPr>
      <w:r>
        <w:t>betekinthet az eljárási iratokba;</w:t>
      </w:r>
    </w:p>
    <w:p w14:paraId="0223976B" w14:textId="77777777" w:rsidR="00301A70" w:rsidRDefault="00301A70" w:rsidP="00E23BDE">
      <w:pPr>
        <w:numPr>
          <w:ilvl w:val="1"/>
          <w:numId w:val="13"/>
        </w:numPr>
      </w:pPr>
      <w:r>
        <w:t>indítványokat terjeszthet elő;</w:t>
      </w:r>
    </w:p>
    <w:p w14:paraId="2A748F55" w14:textId="77777777" w:rsidR="00301A70" w:rsidRDefault="00301A70" w:rsidP="00E23BDE">
      <w:pPr>
        <w:numPr>
          <w:ilvl w:val="1"/>
          <w:numId w:val="13"/>
        </w:numPr>
      </w:pPr>
      <w:r>
        <w:t>a tanú(k)hoz, szakértő(k)</w:t>
      </w:r>
      <w:proofErr w:type="spellStart"/>
      <w:r>
        <w:t>höz</w:t>
      </w:r>
      <w:proofErr w:type="spellEnd"/>
      <w:r>
        <w:t xml:space="preserve"> kérdéseket intézhet.</w:t>
      </w:r>
    </w:p>
    <w:p w14:paraId="54AB70D8" w14:textId="77777777" w:rsidR="00301A70" w:rsidRDefault="00301A70" w:rsidP="00317AB8">
      <w:pPr>
        <w:pStyle w:val="paragrafus"/>
      </w:pPr>
      <w:r>
        <w:t>5. §</w:t>
      </w:r>
    </w:p>
    <w:p w14:paraId="5014EB74" w14:textId="77777777" w:rsidR="00301A70" w:rsidRDefault="00301A70" w:rsidP="008440D9">
      <w:pPr>
        <w:pStyle w:val="Cmsor1"/>
        <w:rPr>
          <w:szCs w:val="24"/>
        </w:rPr>
      </w:pPr>
      <w:bookmarkStart w:id="9" w:name="_Toc252268625"/>
      <w:bookmarkStart w:id="10" w:name="_Toc13128455"/>
      <w:r>
        <w:rPr>
          <w:szCs w:val="24"/>
        </w:rPr>
        <w:t>Fegyelmi tárgyalás</w:t>
      </w:r>
      <w:bookmarkEnd w:id="9"/>
      <w:bookmarkEnd w:id="10"/>
    </w:p>
    <w:p w14:paraId="4D99AAF0" w14:textId="77777777" w:rsidR="00301A70" w:rsidRDefault="00301A70" w:rsidP="002E6D12">
      <w:pPr>
        <w:numPr>
          <w:ilvl w:val="0"/>
          <w:numId w:val="14"/>
        </w:numPr>
      </w:pPr>
      <w:r>
        <w:t>A fegyelmi tárgyalást a fegyelmi bizottság elnöke vezeti. Ügyel a szabályzat rendelkezéseinek megtartására, a tárgyalás rendjének megóvására, és gondoskodik arról, hogy az eljárásban résztvevő személyek jogaikat gyakorolhassák. A kar alkalmazottai közül kijelöli a jegyzőkönyvvezető személyét.</w:t>
      </w:r>
    </w:p>
    <w:p w14:paraId="1B3FA550" w14:textId="77777777" w:rsidR="00301A70" w:rsidRDefault="00301A70" w:rsidP="002E6D12">
      <w:pPr>
        <w:numPr>
          <w:ilvl w:val="0"/>
          <w:numId w:val="14"/>
        </w:numPr>
      </w:pPr>
      <w:r>
        <w:t>Ha a fegyelmi eljárás alá vont hallgató szabályszerű idézése ellenére nem jelent meg - s magát előzetesen, elfogadható indokkal nem mentette ki - a fegyelmi tárgyalás távollétében is megtartható.</w:t>
      </w:r>
    </w:p>
    <w:p w14:paraId="73B5A5A8" w14:textId="77777777" w:rsidR="00301A70" w:rsidRDefault="00301A70" w:rsidP="002E6D12">
      <w:pPr>
        <w:numPr>
          <w:ilvl w:val="0"/>
          <w:numId w:val="14"/>
        </w:numPr>
      </w:pPr>
      <w:r>
        <w:t>A fegyelmi tárgyalás nyilvános. Közérdekből vagy az eljárás alá vont hallgató érdekében a fegyelmi bizottság a hallgatóságot a tárgyalásról, vagy annak egy részéről kizárhatja.</w:t>
      </w:r>
    </w:p>
    <w:p w14:paraId="1AA115B2" w14:textId="77777777" w:rsidR="00301A70" w:rsidRDefault="00301A70" w:rsidP="002E6D12">
      <w:pPr>
        <w:numPr>
          <w:ilvl w:val="0"/>
          <w:numId w:val="14"/>
        </w:numPr>
      </w:pPr>
      <w:r>
        <w:t>A zárt tárgyalást kezdeményezheti az eljárás alá vont hallgató, valamint a tanú is, ha valószínűsíti, hogy a nyilvános tárgyalás jogos érdekét sérti.</w:t>
      </w:r>
    </w:p>
    <w:p w14:paraId="30CA044A" w14:textId="77777777" w:rsidR="00301A70" w:rsidRDefault="00301A70" w:rsidP="002E6D12">
      <w:pPr>
        <w:numPr>
          <w:ilvl w:val="0"/>
          <w:numId w:val="14"/>
        </w:numPr>
      </w:pPr>
      <w:r>
        <w:t>A fegyelmi bizottság elnöke a megjelentek számbavétele után - ha a tárgyalás megtartásának nincs akadálya - felhívja a tanú(</w:t>
      </w:r>
      <w:proofErr w:type="spellStart"/>
      <w:r>
        <w:t>ka</w:t>
      </w:r>
      <w:proofErr w:type="spellEnd"/>
      <w:r>
        <w:t>)t a helyiség elhagyására. Ezután az elnök ismerteti a fegyelmi tárgyalás alapjául szolgáló adatokat. Ezt követően a bizottság meghallgatja az eljárás alá vont hallgatót.</w:t>
      </w:r>
    </w:p>
    <w:p w14:paraId="51134E51" w14:textId="77777777" w:rsidR="00301A70" w:rsidRDefault="00301A70" w:rsidP="002E6D12">
      <w:pPr>
        <w:numPr>
          <w:ilvl w:val="0"/>
          <w:numId w:val="14"/>
        </w:numPr>
      </w:pPr>
      <w:r>
        <w:t>Ha az eljárás alá vont hallgató a fegyelmi vétség elkövetését a tárgyaláson beismeri, és a beismeréshez nem fér kétség, a további bizonyítást mellőzni lehet.</w:t>
      </w:r>
    </w:p>
    <w:p w14:paraId="6CB0658B" w14:textId="77777777" w:rsidR="00301A70" w:rsidRDefault="00301A70" w:rsidP="002E6D12">
      <w:pPr>
        <w:numPr>
          <w:ilvl w:val="0"/>
          <w:numId w:val="14"/>
        </w:numPr>
      </w:pPr>
      <w:r>
        <w:t xml:space="preserve">Ha további bizonyítás válik szükségessé, a fegyelmi bizottság </w:t>
      </w:r>
      <w:r w:rsidR="00DD3213" w:rsidRPr="00303CBF">
        <w:rPr>
          <w:b/>
          <w:i/>
          <w:u w:val="single"/>
        </w:rPr>
        <w:t>a hallgató jelenlétében</w:t>
      </w:r>
      <w:r w:rsidR="00303CBF">
        <w:rPr>
          <w:rStyle w:val="Lbjegyzet-hivatkozs"/>
          <w:b/>
          <w:i/>
          <w:u w:val="single"/>
        </w:rPr>
        <w:footnoteReference w:id="20"/>
      </w:r>
      <w:r w:rsidR="00DD3213" w:rsidRPr="00303CBF">
        <w:rPr>
          <w:b/>
          <w:i/>
          <w:u w:val="single"/>
        </w:rPr>
        <w:t xml:space="preserve"> </w:t>
      </w:r>
      <w:r>
        <w:t>meghallgatja a tanú(</w:t>
      </w:r>
      <w:proofErr w:type="spellStart"/>
      <w:r>
        <w:t>ka</w:t>
      </w:r>
      <w:proofErr w:type="spellEnd"/>
      <w:r>
        <w:t>)t és szükség esetén a szakértő(</w:t>
      </w:r>
      <w:proofErr w:type="spellStart"/>
      <w:r>
        <w:t>ke</w:t>
      </w:r>
      <w:proofErr w:type="spellEnd"/>
      <w:r>
        <w:t>)t, ismerteti a beszerzett iratokat.</w:t>
      </w:r>
    </w:p>
    <w:p w14:paraId="463489D2" w14:textId="77777777" w:rsidR="00301A70" w:rsidRDefault="00301A70" w:rsidP="002E6D12">
      <w:pPr>
        <w:numPr>
          <w:ilvl w:val="0"/>
          <w:numId w:val="14"/>
        </w:numPr>
      </w:pPr>
      <w:r>
        <w:t>A tanútól meg kell kérdezni, hogy az ügyben érdekelt vagy elfogult-e, figyelmeztetni kell az igazmondás kötelezettségére és a hamis tanúzás büntetőjogi következményeire.</w:t>
      </w:r>
    </w:p>
    <w:p w14:paraId="68980EBC" w14:textId="77777777" w:rsidR="00301A70" w:rsidRDefault="00301A70" w:rsidP="002E6D12">
      <w:pPr>
        <w:numPr>
          <w:ilvl w:val="0"/>
          <w:numId w:val="14"/>
        </w:numPr>
      </w:pPr>
      <w:r>
        <w:t>A tanú kihallgatása alatt a még ki nem hallgatott tanú nem lehet jelen. Ha a tanú vallomása a fegyelmi eljárás alá vont hallgató védekezésével vagy más tanú(k) vallomásával ellentétes, ennek tisztázását - szükség esetén - szembesítéssel kell megkísérelni.</w:t>
      </w:r>
    </w:p>
    <w:p w14:paraId="2C7A2D25" w14:textId="77777777" w:rsidR="00301A70" w:rsidRDefault="00301A70" w:rsidP="002E6D12">
      <w:pPr>
        <w:numPr>
          <w:ilvl w:val="0"/>
          <w:numId w:val="14"/>
        </w:numPr>
      </w:pPr>
      <w:r>
        <w:lastRenderedPageBreak/>
        <w:t>A fegyelmi tárgyalásról jegyzőkönyvet kell készíteni. A jegyzőkönyvet a fegyelmi bizottság elnöke, a bizottság tagjai és a jegyzőkönyvvezető írja alá.</w:t>
      </w:r>
    </w:p>
    <w:p w14:paraId="6622BF07" w14:textId="77777777" w:rsidR="00301A70" w:rsidRDefault="00301A70" w:rsidP="002E6D12">
      <w:pPr>
        <w:numPr>
          <w:ilvl w:val="0"/>
          <w:numId w:val="14"/>
        </w:numPr>
      </w:pPr>
      <w:r>
        <w:t>A jegyzőkönyvben foglaltakat a meghallgatott személyekkel ismertetni kell, és ennek megtörténte után a jegyzőkönyv megfelelő részét alá kell íratni. A meghallgatott személy a jegyzőkönyv kiegészítését vagy helyesbítését kérheti. Az aláírás esetleges megtagadását, és ennek okát a jegyzőkönyvben rögzíteni kell.</w:t>
      </w:r>
    </w:p>
    <w:p w14:paraId="5E076089" w14:textId="77777777" w:rsidR="00301A70" w:rsidRDefault="00301A70" w:rsidP="002E6D12">
      <w:pPr>
        <w:numPr>
          <w:ilvl w:val="0"/>
          <w:numId w:val="14"/>
        </w:numPr>
      </w:pPr>
      <w:r>
        <w:t>A jegyzőkönyvet a fegyelmi iratokhoz kell csatolni.</w:t>
      </w:r>
    </w:p>
    <w:p w14:paraId="5C0F3E4F" w14:textId="77777777" w:rsidR="00301A70" w:rsidRDefault="00301A70" w:rsidP="002E6D12">
      <w:pPr>
        <w:numPr>
          <w:ilvl w:val="0"/>
          <w:numId w:val="14"/>
        </w:numPr>
      </w:pPr>
      <w:r>
        <w:t>Az eljáró fegyelmi bizottság elnöke a zárt ülésen meghatározott fegyelmi határozatot kihirdeti.</w:t>
      </w:r>
    </w:p>
    <w:p w14:paraId="4FD65509" w14:textId="77777777" w:rsidR="00301A70" w:rsidRDefault="00301A70" w:rsidP="002E6D12">
      <w:pPr>
        <w:numPr>
          <w:ilvl w:val="0"/>
          <w:numId w:val="14"/>
        </w:numPr>
      </w:pPr>
      <w:r>
        <w:t>A kihirdetés során fel kell olvasni a határozat - zárt ülésen írásba foglalt - rendelkező részét, és ismertetni kell a határozat indoklásának lényegét.</w:t>
      </w:r>
    </w:p>
    <w:p w14:paraId="6C89092B" w14:textId="77777777" w:rsidR="00301A70" w:rsidRDefault="00301A70" w:rsidP="002E6D12">
      <w:pPr>
        <w:numPr>
          <w:ilvl w:val="0"/>
          <w:numId w:val="14"/>
        </w:numPr>
      </w:pPr>
      <w:r>
        <w:t>A határozat kihirdetése után a fegyelmi bizottság elnöke felhívja a fellebbezésre jogosultakat jogorvoslati nyilatkozatuk megtételére. A nyilatkozatok jegyzőkönyvbe vétele után az elnök a fegyelmi tárgyalást berekeszti.</w:t>
      </w:r>
    </w:p>
    <w:p w14:paraId="60319AB9" w14:textId="77777777" w:rsidR="00301A70" w:rsidRDefault="00301A70" w:rsidP="002E6D12">
      <w:pPr>
        <w:numPr>
          <w:ilvl w:val="0"/>
          <w:numId w:val="14"/>
        </w:numPr>
      </w:pPr>
      <w:r>
        <w:t>A fegyelmi határozatot az érintett távollevőkkel kézbesítés útján kell közölni.</w:t>
      </w:r>
    </w:p>
    <w:p w14:paraId="6A099ED2" w14:textId="77777777" w:rsidR="00301A70" w:rsidRDefault="00301A70" w:rsidP="00182C48">
      <w:pPr>
        <w:pStyle w:val="paragrafus"/>
      </w:pPr>
      <w:r>
        <w:t>6. §</w:t>
      </w:r>
    </w:p>
    <w:p w14:paraId="0E1EC28C" w14:textId="77777777" w:rsidR="00301A70" w:rsidRDefault="00301A70" w:rsidP="008440D9">
      <w:pPr>
        <w:pStyle w:val="Cmsor1"/>
        <w:rPr>
          <w:szCs w:val="24"/>
        </w:rPr>
      </w:pPr>
      <w:bookmarkStart w:id="11" w:name="_Toc252268626"/>
      <w:bookmarkStart w:id="12" w:name="_Toc13128456"/>
      <w:r>
        <w:rPr>
          <w:szCs w:val="24"/>
        </w:rPr>
        <w:t>A</w:t>
      </w:r>
      <w:r w:rsidR="0092242F">
        <w:rPr>
          <w:szCs w:val="24"/>
        </w:rPr>
        <w:t>z elsőfokú</w:t>
      </w:r>
      <w:r>
        <w:rPr>
          <w:szCs w:val="24"/>
        </w:rPr>
        <w:t xml:space="preserve"> fegyelmi határozat</w:t>
      </w:r>
      <w:bookmarkEnd w:id="11"/>
      <w:bookmarkEnd w:id="12"/>
    </w:p>
    <w:p w14:paraId="4D1A29AF" w14:textId="77777777" w:rsidR="00301A70" w:rsidRDefault="00301A70" w:rsidP="002E6D12">
      <w:pPr>
        <w:numPr>
          <w:ilvl w:val="0"/>
          <w:numId w:val="15"/>
        </w:numPr>
      </w:pPr>
      <w:r>
        <w:t>A fegyelmi bizottság határozatát a bizonyítási eljárás lefolytatása után, zárt ülésen szavazá</w:t>
      </w:r>
      <w:r w:rsidR="00F56AE6">
        <w:t>ssal hozza meg</w:t>
      </w:r>
      <w:r>
        <w:t>. A zárt ülésen csak a fegyelmi bizottság elnöke és tagjai, valamint a jegyzőkönyvvezető lehet jelen.</w:t>
      </w:r>
    </w:p>
    <w:p w14:paraId="7FBDFA95" w14:textId="77777777" w:rsidR="00301A70" w:rsidRDefault="00301A70" w:rsidP="002E6D12">
      <w:pPr>
        <w:numPr>
          <w:ilvl w:val="0"/>
          <w:numId w:val="15"/>
        </w:numPr>
      </w:pPr>
      <w:r>
        <w:t>A határozat fegyelmi büntetést kiszabó vagy a fegyelmi eljárást megszüntető határozat lehet.</w:t>
      </w:r>
    </w:p>
    <w:p w14:paraId="3643286E" w14:textId="77777777" w:rsidR="00301A70" w:rsidRDefault="00301A70" w:rsidP="002E6D12">
      <w:pPr>
        <w:numPr>
          <w:ilvl w:val="0"/>
          <w:numId w:val="15"/>
        </w:numPr>
      </w:pPr>
      <w:r>
        <w:t>A fegyelmi bizottság a határozatot kizárólag a fegyelmi tárgyaláson elhangzottakra, illetve az ott közvetlenül megvizsgált bizonyítékokra alapozhatja. Kétséget kizáróan nem bizonyított tényt a fegyelmi eljárás alá vont hallgató terhére nem lehet felróni.</w:t>
      </w:r>
    </w:p>
    <w:p w14:paraId="4972D901" w14:textId="77777777" w:rsidR="00301A70" w:rsidRDefault="00301A70" w:rsidP="002E6D12">
      <w:pPr>
        <w:numPr>
          <w:ilvl w:val="0"/>
          <w:numId w:val="15"/>
        </w:numPr>
      </w:pPr>
      <w:r>
        <w:t>A határozat bevezető részében meg kell jelölni az ügy számát, azt, hogy az egyetem mely karán hozták, továbbá annak a hallgatónak a nevét, aki ellen a fegyelmi eljárást elrendelték, valamint a fegyelmi tárgyalás helyét és idejét, és azt, hogy a tárgyalás nyilvános volt-e.</w:t>
      </w:r>
    </w:p>
    <w:p w14:paraId="55FBDB6C" w14:textId="77777777" w:rsidR="00301A70" w:rsidRDefault="00301A70" w:rsidP="002E6D12">
      <w:pPr>
        <w:numPr>
          <w:ilvl w:val="0"/>
          <w:numId w:val="15"/>
        </w:numPr>
      </w:pPr>
      <w:r>
        <w:t>Büntetést kiszabó határozatot kell hozni, ha a fegyelmi bizottság megállapítja, hogy az eljárás alá vont hallgató fegyelmi vétséget követett el, és ezért vele szemben fegyelmi büntetés kiszabását látja szükségesnek.</w:t>
      </w:r>
    </w:p>
    <w:p w14:paraId="3A1D92D4" w14:textId="77777777" w:rsidR="00301A70" w:rsidRDefault="00301A70" w:rsidP="002E6D12">
      <w:pPr>
        <w:numPr>
          <w:ilvl w:val="0"/>
          <w:numId w:val="15"/>
        </w:numPr>
      </w:pPr>
      <w:r>
        <w:t>A büntetést kiszabó határozat rendelkező részének tartalmaznia kell:</w:t>
      </w:r>
    </w:p>
    <w:p w14:paraId="1B96ABA1" w14:textId="77777777" w:rsidR="00301A70" w:rsidRDefault="00301A70" w:rsidP="002E6D12">
      <w:pPr>
        <w:numPr>
          <w:ilvl w:val="1"/>
          <w:numId w:val="15"/>
        </w:numPr>
      </w:pPr>
      <w:r>
        <w:t>a fegyelmi felelősségre vont hallgató nevét és egyéb személyi adatait (születési helyét és idejét, állandó és ideiglenes lakcímét, tagozatát);</w:t>
      </w:r>
    </w:p>
    <w:p w14:paraId="7E430671" w14:textId="77777777" w:rsidR="00301A70" w:rsidRDefault="00301A70" w:rsidP="002E6D12">
      <w:pPr>
        <w:numPr>
          <w:ilvl w:val="1"/>
          <w:numId w:val="15"/>
        </w:numPr>
      </w:pPr>
      <w:r>
        <w:t>az alkalmazott fegyelmi büntetést;</w:t>
      </w:r>
    </w:p>
    <w:p w14:paraId="6C5B1DC6" w14:textId="77777777" w:rsidR="00301A70" w:rsidRDefault="00301A70" w:rsidP="002E6D12">
      <w:pPr>
        <w:numPr>
          <w:ilvl w:val="1"/>
          <w:numId w:val="15"/>
        </w:numPr>
      </w:pPr>
      <w:r>
        <w:t>utalást a jogorvoslati (fellebbezési, bírósági) lehetőségére, és határidőre. Nem kell utalni a fellebbezés lehetőségére, ha a jogosultak a fellebbezésről lemondtak.</w:t>
      </w:r>
    </w:p>
    <w:p w14:paraId="7E923787" w14:textId="77777777" w:rsidR="00301A70" w:rsidRDefault="00301A70" w:rsidP="002E6D12">
      <w:pPr>
        <w:numPr>
          <w:ilvl w:val="0"/>
          <w:numId w:val="15"/>
        </w:numPr>
      </w:pPr>
      <w:r>
        <w:t>A büntetést kiszabó határozat indoklásának tömören tartalmaznia kell:</w:t>
      </w:r>
    </w:p>
    <w:p w14:paraId="4A6926F6" w14:textId="77777777" w:rsidR="00301A70" w:rsidRDefault="00301A70" w:rsidP="002E6D12">
      <w:pPr>
        <w:numPr>
          <w:ilvl w:val="1"/>
          <w:numId w:val="15"/>
        </w:numPr>
      </w:pPr>
      <w:r>
        <w:t>a megállapított tényállást;</w:t>
      </w:r>
    </w:p>
    <w:p w14:paraId="3F087B04" w14:textId="77777777" w:rsidR="00301A70" w:rsidRDefault="00301A70" w:rsidP="002E6D12">
      <w:pPr>
        <w:numPr>
          <w:ilvl w:val="1"/>
          <w:numId w:val="15"/>
        </w:numPr>
      </w:pPr>
      <w:r>
        <w:t>a bizonyítékok megjelölését és értékelését;</w:t>
      </w:r>
    </w:p>
    <w:p w14:paraId="43642584" w14:textId="77777777" w:rsidR="00301A70" w:rsidRDefault="00301A70" w:rsidP="002E6D12">
      <w:pPr>
        <w:numPr>
          <w:ilvl w:val="1"/>
          <w:numId w:val="15"/>
        </w:numPr>
      </w:pPr>
      <w:r>
        <w:t>annak kifejtését, hogy az elkövetett cselekmény vagy mulasztás megvalósítja-e a hallgatói kötelesség vétkes és súlyos megszegését, és annak elkövetésében a hallgató mennyire vétkes;</w:t>
      </w:r>
    </w:p>
    <w:p w14:paraId="7400035B" w14:textId="77777777" w:rsidR="00301A70" w:rsidRDefault="00301A70" w:rsidP="002E6D12">
      <w:pPr>
        <w:numPr>
          <w:ilvl w:val="1"/>
          <w:numId w:val="15"/>
        </w:numPr>
      </w:pPr>
      <w:r>
        <w:t>a büntetés kiszabásánál figyelembe vett enyhítő és súlyosbító körülményeket;</w:t>
      </w:r>
    </w:p>
    <w:p w14:paraId="3F8DA20F" w14:textId="77777777" w:rsidR="00301A70" w:rsidRDefault="00301A70" w:rsidP="002E6D12">
      <w:pPr>
        <w:numPr>
          <w:ilvl w:val="1"/>
          <w:numId w:val="15"/>
        </w:numPr>
      </w:pPr>
      <w:r>
        <w:t>hivatkozást azokra a rendelkezésekre, amelyek a fegyelmi büntetés alapjául szolgáltak.</w:t>
      </w:r>
    </w:p>
    <w:p w14:paraId="378EF7C9" w14:textId="77777777" w:rsidR="00301A70" w:rsidRDefault="00301A70" w:rsidP="002E6D12">
      <w:pPr>
        <w:numPr>
          <w:ilvl w:val="0"/>
          <w:numId w:val="15"/>
        </w:numPr>
      </w:pPr>
      <w:r>
        <w:t>A fegyelmi bizottság az eljárást megszüntető határozatot hoz, ha</w:t>
      </w:r>
    </w:p>
    <w:p w14:paraId="02C4A7CD" w14:textId="77777777" w:rsidR="00301A70" w:rsidRDefault="00301A70" w:rsidP="002E6D12">
      <w:pPr>
        <w:numPr>
          <w:ilvl w:val="1"/>
          <w:numId w:val="15"/>
        </w:numPr>
      </w:pPr>
      <w:r>
        <w:t>az elkövetett nem fegyelmi vétség, vagy azt nem az eljárás alá vont hallgató követte el;</w:t>
      </w:r>
    </w:p>
    <w:p w14:paraId="4D66056A" w14:textId="77777777" w:rsidR="00301A70" w:rsidRDefault="00301A70" w:rsidP="002E6D12">
      <w:pPr>
        <w:numPr>
          <w:ilvl w:val="1"/>
          <w:numId w:val="15"/>
        </w:numPr>
      </w:pPr>
      <w:r>
        <w:t>a fegyelmi vétség elkövetése nem bizonyítható;</w:t>
      </w:r>
    </w:p>
    <w:p w14:paraId="5DEA9836" w14:textId="77777777" w:rsidR="00301A70" w:rsidRDefault="00301A70" w:rsidP="002E6D12">
      <w:pPr>
        <w:numPr>
          <w:ilvl w:val="1"/>
          <w:numId w:val="15"/>
        </w:numPr>
      </w:pPr>
      <w:r>
        <w:lastRenderedPageBreak/>
        <w:t>a hallgató vétsége nem állapítható meg;</w:t>
      </w:r>
    </w:p>
    <w:p w14:paraId="0BDE4542" w14:textId="77777777" w:rsidR="00301A70" w:rsidRDefault="00301A70" w:rsidP="002E6D12">
      <w:pPr>
        <w:numPr>
          <w:ilvl w:val="1"/>
          <w:numId w:val="15"/>
        </w:numPr>
      </w:pPr>
      <w:r>
        <w:t>a fegyelmi vétség elévült;</w:t>
      </w:r>
    </w:p>
    <w:p w14:paraId="6913AF32" w14:textId="77777777" w:rsidR="00301A70" w:rsidRDefault="00301A70" w:rsidP="002E6D12">
      <w:pPr>
        <w:numPr>
          <w:ilvl w:val="1"/>
          <w:numId w:val="15"/>
        </w:numPr>
      </w:pPr>
      <w:r>
        <w:t>az eljárás alapjául szolgáló cselekményt fegyelmi úton már jogerősen elbírálták.</w:t>
      </w:r>
    </w:p>
    <w:p w14:paraId="3334F02D" w14:textId="77777777" w:rsidR="00301A70" w:rsidRDefault="00301A70" w:rsidP="002E6D12">
      <w:pPr>
        <w:numPr>
          <w:ilvl w:val="0"/>
          <w:numId w:val="15"/>
        </w:numPr>
      </w:pPr>
      <w:r>
        <w:t>Az eljárást megszüntető határozat rendelkező részének tartalmaznia kell:</w:t>
      </w:r>
    </w:p>
    <w:p w14:paraId="10EEAE1D" w14:textId="77777777" w:rsidR="00301A70" w:rsidRDefault="00301A70" w:rsidP="002E6D12">
      <w:pPr>
        <w:numPr>
          <w:ilvl w:val="1"/>
          <w:numId w:val="15"/>
        </w:numPr>
      </w:pPr>
      <w:r>
        <w:t>a fegyelmi eljárás alá vont hallgató nevét és egyéb személyi adatait;</w:t>
      </w:r>
    </w:p>
    <w:p w14:paraId="2F9A581E" w14:textId="77777777" w:rsidR="00301A70" w:rsidRDefault="00301A70" w:rsidP="002E6D12">
      <w:pPr>
        <w:numPr>
          <w:ilvl w:val="1"/>
          <w:numId w:val="15"/>
        </w:numPr>
      </w:pPr>
      <w:r>
        <w:t>a fegyelmi vétség megjelölését, amely miatt a fegyelmi eljárást elrendelték;</w:t>
      </w:r>
    </w:p>
    <w:p w14:paraId="4F33389C" w14:textId="77777777" w:rsidR="00301A70" w:rsidRDefault="00301A70" w:rsidP="002E6D12">
      <w:pPr>
        <w:numPr>
          <w:ilvl w:val="1"/>
          <w:numId w:val="15"/>
        </w:numPr>
      </w:pPr>
      <w:r>
        <w:t>a fegyelmi eljárás megszüntetésének kimondását;</w:t>
      </w:r>
    </w:p>
    <w:p w14:paraId="7B0F9DF9" w14:textId="77777777" w:rsidR="00301A70" w:rsidRDefault="00301A70" w:rsidP="002E6D12">
      <w:pPr>
        <w:numPr>
          <w:ilvl w:val="1"/>
          <w:numId w:val="15"/>
        </w:numPr>
      </w:pPr>
      <w:r>
        <w:t>a megszüntetés okának megjelölését;</w:t>
      </w:r>
    </w:p>
    <w:p w14:paraId="212C497A" w14:textId="77777777" w:rsidR="00301A70" w:rsidRDefault="00301A70" w:rsidP="002E6D12">
      <w:pPr>
        <w:numPr>
          <w:ilvl w:val="1"/>
          <w:numId w:val="15"/>
        </w:numPr>
      </w:pPr>
      <w:r>
        <w:t xml:space="preserve">utalást a fellebbezés benyújtásának lehetőségére és a benyújtás </w:t>
      </w:r>
      <w:r w:rsidR="007F4589">
        <w:t xml:space="preserve">tizenöt napos </w:t>
      </w:r>
      <w:r>
        <w:t>határidejére.</w:t>
      </w:r>
    </w:p>
    <w:p w14:paraId="3B0B9614" w14:textId="77777777" w:rsidR="00301A70" w:rsidRDefault="00301A70" w:rsidP="002E6D12">
      <w:pPr>
        <w:pStyle w:val="1aifelsorolsutn"/>
      </w:pPr>
      <w:r>
        <w:t xml:space="preserve">Nem kell utalni a fellebbezés lehetőségére, ha a jogosultak a fellebbezésről </w:t>
      </w:r>
      <w:r w:rsidR="0092242F">
        <w:t xml:space="preserve">a határozat kihirdetésekor </w:t>
      </w:r>
      <w:r>
        <w:t>lemondtak.</w:t>
      </w:r>
    </w:p>
    <w:p w14:paraId="46893F0D" w14:textId="77777777" w:rsidR="00301A70" w:rsidRDefault="00301A70" w:rsidP="002E6D12">
      <w:pPr>
        <w:numPr>
          <w:ilvl w:val="0"/>
          <w:numId w:val="15"/>
        </w:numPr>
      </w:pPr>
      <w:r>
        <w:t>A megszüntető határozat indoklásában röviden elő kell adni a megállapított tényeket és bizonyítékokat, ki kell térni azokra az okokra, amelyek a fegyelmi bizottságot az eljárás megszüntetésére indították, ennek során hivatkozni kell a (8) bekezdésnek arra a pontjára, amelyen a fegyelmi eljárás megszüntetése ala</w:t>
      </w:r>
      <w:r w:rsidR="00F56AE6">
        <w:t>pul</w:t>
      </w:r>
      <w:r>
        <w:t>.</w:t>
      </w:r>
    </w:p>
    <w:p w14:paraId="1A44C1FF" w14:textId="77777777" w:rsidR="00301A70" w:rsidRDefault="00301A70" w:rsidP="002E6D12">
      <w:pPr>
        <w:numPr>
          <w:ilvl w:val="0"/>
          <w:numId w:val="15"/>
        </w:numPr>
      </w:pPr>
      <w:r>
        <w:t>A fegyelmi bizottság határozatát a kihirdetéstől számított nyolc napon belül írásba kell foglalni.</w:t>
      </w:r>
    </w:p>
    <w:p w14:paraId="5AD3192B" w14:textId="77777777" w:rsidR="00301A70" w:rsidRDefault="00301A70" w:rsidP="002E6D12">
      <w:pPr>
        <w:numPr>
          <w:ilvl w:val="0"/>
          <w:numId w:val="15"/>
        </w:numPr>
      </w:pPr>
      <w:r>
        <w:t>Az írásba foglalt fegyelmi határozatot és megfelelő számú másolati példányát az eljáró fegyelmi bizottság elnöke írja alá.</w:t>
      </w:r>
    </w:p>
    <w:p w14:paraId="6F797609" w14:textId="77777777" w:rsidR="00301A70" w:rsidRDefault="00301A70" w:rsidP="002E6D12">
      <w:pPr>
        <w:numPr>
          <w:ilvl w:val="0"/>
          <w:numId w:val="15"/>
        </w:numPr>
      </w:pPr>
      <w:r>
        <w:t>A határozatot az eljárás alá vont hallgatónak és a jogi képviselőnek akkor is kézbesíteni kell, ha a határozatot velük kihirdetés útján közölték.</w:t>
      </w:r>
    </w:p>
    <w:p w14:paraId="21B23B4C" w14:textId="77777777" w:rsidR="00C3614B" w:rsidRDefault="00C3614B" w:rsidP="002E6D12">
      <w:pPr>
        <w:numPr>
          <w:ilvl w:val="0"/>
          <w:numId w:val="15"/>
        </w:numPr>
      </w:pPr>
      <w:r>
        <w:t>Az első fokon jogerőre emelkedett fegyelmi határozatot a jogerőre emelkedést követő 5 munkanapon belül a dékáni hivatal, illetve a GMF megküldi a KTH-</w:t>
      </w:r>
      <w:proofErr w:type="spellStart"/>
      <w:r>
        <w:t>nak</w:t>
      </w:r>
      <w:proofErr w:type="spellEnd"/>
      <w:r w:rsidR="00537E69">
        <w:t>, illetve az illetékes dékánnak</w:t>
      </w:r>
      <w:r>
        <w:t>. Amennyiben a 3.§ (</w:t>
      </w:r>
      <w:r w:rsidR="0018629E">
        <w:t>1</w:t>
      </w:r>
      <w:r>
        <w:t xml:space="preserve">) bekezdésének c)-e) pontjai alapján a fegyelmi büntetés következtében a hallgató kizárásra kerül a kollégiumokból is, </w:t>
      </w:r>
      <w:r w:rsidR="0018629E">
        <w:t>a fegyelmi határozat egy-egy példányát a dékáni hivatal megküldi az Egyetemi Hallgatói képviseletnek és a Kollégiumok Osztálynak is.</w:t>
      </w:r>
    </w:p>
    <w:p w14:paraId="4D99882F" w14:textId="77777777" w:rsidR="00301A70" w:rsidRDefault="00301A70" w:rsidP="002E6D12">
      <w:pPr>
        <w:numPr>
          <w:ilvl w:val="0"/>
          <w:numId w:val="15"/>
        </w:numPr>
      </w:pPr>
      <w:r>
        <w:t>A fegyelmi bizottság a kihirdetett határozatot nem változtathatja meg. A határozat érdemével össze nem függő hibákat (név-, szám-, számítási hiba, vagy más hasonló elírásokat) azonban kijavíthatja.</w:t>
      </w:r>
    </w:p>
    <w:p w14:paraId="160A480C" w14:textId="77777777" w:rsidR="00301A70" w:rsidRDefault="0018629E" w:rsidP="002E6D12">
      <w:pPr>
        <w:numPr>
          <w:ilvl w:val="0"/>
          <w:numId w:val="15"/>
        </w:numPr>
      </w:pPr>
      <w:r>
        <w:t xml:space="preserve">A fegyelmi bizottság az </w:t>
      </w:r>
      <w:r w:rsidR="00AA1BCC">
        <w:t xml:space="preserve">elsőfokú </w:t>
      </w:r>
      <w:r>
        <w:t xml:space="preserve">eljárásban keletkezett iratokat </w:t>
      </w:r>
      <w:r w:rsidR="00F840EA">
        <w:t xml:space="preserve">a </w:t>
      </w:r>
      <w:r w:rsidR="00AA1BCC">
        <w:t>fegyelmi határozat meghozatalát követően haladéktalanul átadja a dékáni hivatalnak, illetve gazdasági és műszaki főigazgató által kezdeményezett eljárások esetén a GMF-</w:t>
      </w:r>
      <w:proofErr w:type="spellStart"/>
      <w:r w:rsidR="00AA1BCC">
        <w:t>nek</w:t>
      </w:r>
      <w:proofErr w:type="spellEnd"/>
      <w:r w:rsidR="0006538D">
        <w:t xml:space="preserve"> is</w:t>
      </w:r>
      <w:r w:rsidR="00AA1BCC">
        <w:t>.</w:t>
      </w:r>
    </w:p>
    <w:p w14:paraId="237AA717" w14:textId="77777777" w:rsidR="00AE4548" w:rsidRDefault="00AE4548" w:rsidP="001248E2">
      <w:pPr>
        <w:pStyle w:val="paragrafus"/>
      </w:pPr>
    </w:p>
    <w:p w14:paraId="3368CFB5" w14:textId="77777777" w:rsidR="00AE4548" w:rsidRDefault="00AE4548" w:rsidP="001248E2">
      <w:pPr>
        <w:pStyle w:val="paragrafus"/>
      </w:pPr>
    </w:p>
    <w:p w14:paraId="56F52EFD" w14:textId="77777777" w:rsidR="00AE4548" w:rsidRDefault="00AE4548" w:rsidP="001248E2">
      <w:pPr>
        <w:pStyle w:val="paragrafus"/>
      </w:pPr>
    </w:p>
    <w:p w14:paraId="171890C1" w14:textId="77777777" w:rsidR="00301A70" w:rsidRDefault="00301A70" w:rsidP="001248E2">
      <w:pPr>
        <w:pStyle w:val="paragrafus"/>
      </w:pPr>
      <w:r>
        <w:t>7. §</w:t>
      </w:r>
    </w:p>
    <w:p w14:paraId="247604B9" w14:textId="77777777" w:rsidR="00301A70" w:rsidRDefault="00301A70" w:rsidP="008440D9">
      <w:pPr>
        <w:pStyle w:val="Cmsor1"/>
        <w:rPr>
          <w:szCs w:val="24"/>
        </w:rPr>
      </w:pPr>
      <w:bookmarkStart w:id="13" w:name="_Toc252268627"/>
      <w:bookmarkStart w:id="14" w:name="_Toc13128457"/>
      <w:r w:rsidRPr="007B626E">
        <w:rPr>
          <w:szCs w:val="24"/>
        </w:rPr>
        <w:t xml:space="preserve">Fellebbezés, másodfokú fegyelmi </w:t>
      </w:r>
      <w:r w:rsidR="007B626E" w:rsidRPr="007B626E">
        <w:rPr>
          <w:szCs w:val="24"/>
        </w:rPr>
        <w:t>eljárás</w:t>
      </w:r>
      <w:bookmarkEnd w:id="13"/>
      <w:r w:rsidR="004C676C">
        <w:rPr>
          <w:rStyle w:val="Lbjegyzet-hivatkozs"/>
          <w:szCs w:val="24"/>
        </w:rPr>
        <w:footnoteReference w:id="21"/>
      </w:r>
      <w:bookmarkEnd w:id="14"/>
    </w:p>
    <w:p w14:paraId="5E9FE10E" w14:textId="77777777" w:rsidR="00AE4548" w:rsidRPr="00AE4548" w:rsidRDefault="00AE4548" w:rsidP="00AE4548"/>
    <w:p w14:paraId="3689CA9A" w14:textId="77777777" w:rsidR="00301A70" w:rsidRDefault="00301A70" w:rsidP="00287E3B">
      <w:pPr>
        <w:pStyle w:val="paragrafus"/>
      </w:pPr>
      <w:bookmarkStart w:id="15" w:name="pr643"/>
      <w:bookmarkStart w:id="16" w:name="pr644"/>
      <w:bookmarkStart w:id="17" w:name="pr645"/>
      <w:bookmarkEnd w:id="15"/>
      <w:bookmarkEnd w:id="16"/>
      <w:bookmarkEnd w:id="17"/>
      <w:r>
        <w:t>8. §</w:t>
      </w:r>
    </w:p>
    <w:p w14:paraId="5F2E3ABA" w14:textId="77777777" w:rsidR="00301A70" w:rsidRDefault="00301A70" w:rsidP="008440D9">
      <w:pPr>
        <w:pStyle w:val="Cmsor1"/>
        <w:rPr>
          <w:szCs w:val="24"/>
        </w:rPr>
      </w:pPr>
      <w:bookmarkStart w:id="18" w:name="_Toc252268628"/>
      <w:bookmarkStart w:id="19" w:name="_Toc13128458"/>
      <w:r>
        <w:rPr>
          <w:szCs w:val="24"/>
        </w:rPr>
        <w:lastRenderedPageBreak/>
        <w:t>Mentesülés a fegyelmi büntetés alól</w:t>
      </w:r>
      <w:bookmarkEnd w:id="18"/>
      <w:bookmarkEnd w:id="19"/>
    </w:p>
    <w:p w14:paraId="0B8FE809" w14:textId="77777777" w:rsidR="00301A70" w:rsidRDefault="00301A70" w:rsidP="004C473E">
      <w:pPr>
        <w:numPr>
          <w:ilvl w:val="0"/>
          <w:numId w:val="17"/>
        </w:numPr>
      </w:pPr>
      <w:r>
        <w:t xml:space="preserve">Mentesülés esetén a fegyelmi határozatot a </w:t>
      </w:r>
      <w:r w:rsidR="006A4910">
        <w:t xml:space="preserve">hallgatói </w:t>
      </w:r>
      <w:r>
        <w:t>nyilvántartás</w:t>
      </w:r>
      <w:r w:rsidR="006A4910">
        <w:t>ok</w:t>
      </w:r>
      <w:r>
        <w:t>ból törölni kell. A törlés úgy történik, hogy az iratgyűjtőben elhelyezett határozatra rá</w:t>
      </w:r>
      <w:r w:rsidR="00537E69">
        <w:t xml:space="preserve"> kell jegyezni </w:t>
      </w:r>
      <w:r>
        <w:t>a mentesülés tényét</w:t>
      </w:r>
      <w:r w:rsidR="00537E69">
        <w:t>, illetve a hallgató törzslapjáról azt törölni kell</w:t>
      </w:r>
      <w:r>
        <w:t>.</w:t>
      </w:r>
    </w:p>
    <w:p w14:paraId="2AC55B6A" w14:textId="77777777" w:rsidR="00301A70" w:rsidRDefault="00301A70" w:rsidP="004C473E">
      <w:pPr>
        <w:numPr>
          <w:ilvl w:val="0"/>
          <w:numId w:val="17"/>
        </w:numPr>
      </w:pPr>
      <w:r>
        <w:t>Ha a mentesítés az erre irányuló kérelem elbírálásától függ, a kérelem elutasítása ellen - a határozat kézhezvételétől számított nyolc munkanapon belül - fellebbezésnek van helye.</w:t>
      </w:r>
      <w:r w:rsidR="00537E69">
        <w:t xml:space="preserve"> A kérelem elbírálására a fegyelmi eljárásban részletezett szabályok szerint dönt az erre a célra a fentiek szerinti eljárásnak megfelelően létrehozott fegyelmi bizottság azzal, hogy a fegyelmi bizottság a rendelkezésre álló iratok alapján dönt.</w:t>
      </w:r>
    </w:p>
    <w:p w14:paraId="7050C98C" w14:textId="77777777" w:rsidR="00301A70" w:rsidRDefault="00301A70" w:rsidP="004C473E">
      <w:pPr>
        <w:numPr>
          <w:ilvl w:val="0"/>
          <w:numId w:val="17"/>
        </w:numPr>
      </w:pPr>
      <w:r>
        <w:t>A fellebbezés</w:t>
      </w:r>
      <w:r w:rsidR="00537E69">
        <w:t>re a jogorvoslatnál részletezettek az alkalmazandók</w:t>
      </w:r>
      <w:r>
        <w:t>.</w:t>
      </w:r>
    </w:p>
    <w:p w14:paraId="6650EA1B" w14:textId="77777777" w:rsidR="00301A70" w:rsidRDefault="00301A70" w:rsidP="004C473E">
      <w:pPr>
        <w:numPr>
          <w:ilvl w:val="0"/>
          <w:numId w:val="17"/>
        </w:numPr>
      </w:pPr>
      <w:r>
        <w:t>A hallgató a fegyelmi büntetéshez fűződő hátrányos következmények alól – kérelem és erre vonatkozó határozat nélkül – mentesül:</w:t>
      </w:r>
    </w:p>
    <w:p w14:paraId="4931FD87" w14:textId="77777777" w:rsidR="00301A70" w:rsidRDefault="00301A70" w:rsidP="004C473E">
      <w:pPr>
        <w:numPr>
          <w:ilvl w:val="1"/>
          <w:numId w:val="17"/>
        </w:numPr>
      </w:pPr>
      <w:r>
        <w:t>megrovás fegyelmi büntetés esetén a határozat jogerőre emelkedésétől számított három hónap elteltével,</w:t>
      </w:r>
    </w:p>
    <w:p w14:paraId="1DD7F737" w14:textId="77777777" w:rsidR="00301A70" w:rsidRDefault="00301A70" w:rsidP="004C473E">
      <w:pPr>
        <w:numPr>
          <w:ilvl w:val="1"/>
          <w:numId w:val="17"/>
        </w:numPr>
      </w:pPr>
      <w:r>
        <w:t>a juttatások, kedvezmények csökkentésének, illetve megvonásának határozatban kiszabott határidejének lejártával,</w:t>
      </w:r>
    </w:p>
    <w:p w14:paraId="0133C44A" w14:textId="77777777" w:rsidR="00301A70" w:rsidRDefault="00301A70" w:rsidP="004C473E">
      <w:pPr>
        <w:numPr>
          <w:ilvl w:val="1"/>
          <w:numId w:val="17"/>
        </w:numPr>
      </w:pPr>
      <w:r>
        <w:t>a tanulmányoktól való eltiltás esetén az eltiltás lejártával.</w:t>
      </w:r>
    </w:p>
    <w:p w14:paraId="39FDED0D" w14:textId="77777777" w:rsidR="002334FA" w:rsidRDefault="00301A70" w:rsidP="004C473E">
      <w:pPr>
        <w:numPr>
          <w:ilvl w:val="0"/>
          <w:numId w:val="17"/>
        </w:numPr>
      </w:pPr>
      <w:r>
        <w:t>Kizárás esetén az első fokon eljárt fegyelmi bizottság a volt hallgató kérelmére mentesítő határozatot hozhat, feltéve, hogy az elsőfokú határozat meghozatalától számított három év eltelt.</w:t>
      </w:r>
    </w:p>
    <w:p w14:paraId="5D7BDEF8" w14:textId="77777777" w:rsidR="00537E69" w:rsidRDefault="00301A70" w:rsidP="004C473E">
      <w:pPr>
        <w:numPr>
          <w:ilvl w:val="0"/>
          <w:numId w:val="17"/>
        </w:numPr>
      </w:pPr>
      <w:r>
        <w:t>A hallgatót a fegyelmi büntetés idejének lejárta előtt a kari fegyelmi bizottság határozatával mentesíteni lehet a kiszabott büntetés alól.</w:t>
      </w:r>
    </w:p>
    <w:p w14:paraId="7425ADD4" w14:textId="77777777" w:rsidR="00537E69" w:rsidRDefault="00537E69" w:rsidP="004C473E">
      <w:pPr>
        <w:numPr>
          <w:ilvl w:val="0"/>
          <w:numId w:val="17"/>
        </w:numPr>
      </w:pPr>
      <w:r>
        <w:t>A hátrányos következmények alóli mentesülés jelen bekezdésben foglalt eseteiben az illetékes dékáni hivatal jár el a nyilvántartásokból törlés érdekében, és értesíti a KTH-t és amennyiben a hallgató kollégiumi elhelyezésre jogosulttá válik a mentesülés okán, a Kollégiumok Osztályt és az EHK-t is.</w:t>
      </w:r>
    </w:p>
    <w:p w14:paraId="648A80C5" w14:textId="77777777" w:rsidR="00301A70" w:rsidRDefault="00301A70" w:rsidP="00287E3B">
      <w:pPr>
        <w:pStyle w:val="paragrafus"/>
      </w:pPr>
      <w:r>
        <w:t>9. §</w:t>
      </w:r>
    </w:p>
    <w:p w14:paraId="307AEEFE" w14:textId="77777777" w:rsidR="00301A70" w:rsidRPr="005873E2" w:rsidRDefault="00301A70" w:rsidP="008440D9">
      <w:pPr>
        <w:pStyle w:val="Cmsor1"/>
        <w:rPr>
          <w:szCs w:val="24"/>
        </w:rPr>
      </w:pPr>
      <w:bookmarkStart w:id="20" w:name="_Toc252268629"/>
      <w:bookmarkStart w:id="21" w:name="_Toc13128459"/>
      <w:r w:rsidRPr="005873E2">
        <w:rPr>
          <w:szCs w:val="24"/>
        </w:rPr>
        <w:t>Új eljárás elrendelése</w:t>
      </w:r>
      <w:bookmarkEnd w:id="20"/>
      <w:bookmarkEnd w:id="21"/>
    </w:p>
    <w:p w14:paraId="772F4F8D" w14:textId="77777777" w:rsidR="00301A70" w:rsidRDefault="00301A70" w:rsidP="002712BE">
      <w:pPr>
        <w:numPr>
          <w:ilvl w:val="0"/>
          <w:numId w:val="18"/>
        </w:numPr>
      </w:pPr>
      <w:r>
        <w:t>Ha a jogerős határozat meghatározott fegyelmi büntetésről rendelkezik, a hallgató (volt hallgató) új eljárás iránti kérelmet terjeszthet elő. A kérelem kizárólag a fegyelmi eljárás során fel nem merült tényekre (új tények), illetőleg ott fel nem használt bizonyítékokra (új bizonyítékok) alapítható.</w:t>
      </w:r>
      <w:r w:rsidR="00AD591B">
        <w:t xml:space="preserve"> </w:t>
      </w:r>
      <w:r w:rsidR="006A4910">
        <w:t>Új tényre a hallgató akkor hivatkozhat, ha neki fel nem róható okból nem hivatkozott az új tényekre és bizonyítékokra, és az ezekről való tudomásszerzést követő 30 napon belül kezdeményezi az új eljárást, és ezt megfelelően igazolja. A hallgató a késedelem miatt igazolási kérelemmel élhet. Az igazolásokra illetve az igazolási kérelem elbírálására az elsőfokú eljárásnál leírt szabályok az alkalmazandók.</w:t>
      </w:r>
    </w:p>
    <w:p w14:paraId="6D0BC6C9" w14:textId="77777777" w:rsidR="00301A70" w:rsidRDefault="00301A70" w:rsidP="002712BE">
      <w:pPr>
        <w:numPr>
          <w:ilvl w:val="0"/>
          <w:numId w:val="18"/>
        </w:numPr>
      </w:pPr>
      <w:r>
        <w:t xml:space="preserve">A kérelmet a dékán bírálja el. Az elutasítást tartalmazó döntés ellen fellebbezéssel lehet élni. A fellebbezést a </w:t>
      </w:r>
      <w:r w:rsidR="009F6328">
        <w:t xml:space="preserve">BME </w:t>
      </w:r>
      <w:r w:rsidR="003C5667">
        <w:t>Hallgatói Jogorvoslati Bizottsága</w:t>
      </w:r>
      <w:r>
        <w:t xml:space="preserve"> bírálja el. A fellebbezésre, elutasításra vonatkozó határidőre a fegyelmi határozatra és az az elleni fellebbezésre vonatkozó határidők érvényesek.</w:t>
      </w:r>
    </w:p>
    <w:p w14:paraId="77D602E1" w14:textId="77777777" w:rsidR="005663FE" w:rsidRDefault="00C146C3" w:rsidP="005663FE">
      <w:pPr>
        <w:pStyle w:val="paragrafus"/>
      </w:pPr>
      <w:r>
        <w:t>9/A</w:t>
      </w:r>
      <w:r w:rsidR="005663FE">
        <w:t xml:space="preserve">. </w:t>
      </w:r>
      <w:r>
        <w:t>§</w:t>
      </w:r>
    </w:p>
    <w:p w14:paraId="6839674C" w14:textId="77777777" w:rsidR="00C146C3" w:rsidRPr="00C146C3" w:rsidRDefault="00C146C3" w:rsidP="00AB50E6">
      <w:pPr>
        <w:pStyle w:val="Cmsor1"/>
        <w:rPr>
          <w:szCs w:val="24"/>
        </w:rPr>
      </w:pPr>
      <w:bookmarkStart w:id="22" w:name="_Toc252268630"/>
      <w:bookmarkStart w:id="23" w:name="_Toc13128460"/>
      <w:r w:rsidRPr="00AB50E6">
        <w:t>Kollégiumi Fegyelmi Eljárás</w:t>
      </w:r>
      <w:bookmarkEnd w:id="22"/>
      <w:bookmarkEnd w:id="23"/>
    </w:p>
    <w:p w14:paraId="7D3CCEA9" w14:textId="77777777" w:rsidR="00EC4462" w:rsidRDefault="000E1969" w:rsidP="00EC4462">
      <w:pPr>
        <w:pStyle w:val="Listaszerbekezds"/>
        <w:numPr>
          <w:ilvl w:val="0"/>
          <w:numId w:val="31"/>
        </w:numPr>
      </w:pPr>
      <w:r>
        <w:t>Kollégiumi fegyelmi vétséget követ</w:t>
      </w:r>
      <w:r w:rsidRPr="00187E79">
        <w:t xml:space="preserve"> </w:t>
      </w:r>
      <w:r>
        <w:t xml:space="preserve">el a hallgató, ha kollégiumi tagsági jogviszonyából eredő lényeges kötelezettségét vétkesen és súlyosan (szándékosan vagy gondatlanul) megszegi. Kollégiumi fegyelmi vétséget követ el az a kollégiumi tagsági jogviszonnyal nem rendelkező hallgató, aki bármely kollégium területére vendégként érkezett, és vétkesen </w:t>
      </w:r>
      <w:r>
        <w:lastRenderedPageBreak/>
        <w:t xml:space="preserve">(szándékosan vagy gondatlanul) és súlyosan </w:t>
      </w:r>
      <w:r w:rsidRPr="001000A4">
        <w:t>megszegi a</w:t>
      </w:r>
      <w:r>
        <w:t xml:space="preserve"> kollégiumi tagsági jogviszonyból fakadó – kollégiumi díj és egyéb díjfizetésen kívüli – kötelezettségeit (így különösen, de nem kizárólag) az adott kollégium házirendjét, vagy a bentlakási megállapodást</w:t>
      </w:r>
      <w:r w:rsidRPr="001000A4">
        <w:t>.</w:t>
      </w:r>
    </w:p>
    <w:p w14:paraId="20D1137F" w14:textId="77777777" w:rsidR="00EC4462" w:rsidRDefault="000E1969" w:rsidP="00EC4462">
      <w:pPr>
        <w:pStyle w:val="Listaszerbekezds"/>
        <w:numPr>
          <w:ilvl w:val="0"/>
          <w:numId w:val="31"/>
        </w:numPr>
      </w:pPr>
      <w:r w:rsidRPr="00FF7DAE">
        <w:t>Súlyos kötelességszegésnek minősül az is, ha a hallgató egyenként kisebb súlyú, általa elismert</w:t>
      </w:r>
      <w:r>
        <w:t>, vagy el nem ismert, de bizonyított</w:t>
      </w:r>
      <w:r w:rsidRPr="00FF7DAE">
        <w:t xml:space="preserve"> kötelezettségszegéseket követ el, több alkalommal.</w:t>
      </w:r>
      <w:bookmarkStart w:id="24" w:name="_Ref248135253"/>
    </w:p>
    <w:p w14:paraId="0FE5AA69" w14:textId="77777777" w:rsidR="00EC4462" w:rsidRDefault="000E1969" w:rsidP="00EC4462">
      <w:pPr>
        <w:pStyle w:val="Listaszerbekezds"/>
        <w:numPr>
          <w:ilvl w:val="0"/>
          <w:numId w:val="31"/>
        </w:numPr>
      </w:pPr>
      <w:bookmarkStart w:id="25" w:name="_Ref350617268"/>
      <w:r>
        <w:t>A kollégiumi fegyelmi vétséggel összefüggő fegyelmi eljárás lefolytatására a jelen Szabályzat 2-9.§-</w:t>
      </w:r>
      <w:proofErr w:type="spellStart"/>
      <w:r>
        <w:t>aiban</w:t>
      </w:r>
      <w:proofErr w:type="spellEnd"/>
      <w:r>
        <w:t xml:space="preserve"> írtakat a jelen §-ban leírt eltérésekkel kell megfelelően alkalmazni úgy, hogy ahol e szabályzat dékánt említ, ott a GMF Kollégiumok Osztály (a továbbiakban: KO) igazgatóját, ahol kari alkalmazottat, ott GMF alkalmazottat, ahol dékáni hivatalt, ott GMF KO-t kell érteni.</w:t>
      </w:r>
      <w:bookmarkEnd w:id="24"/>
      <w:r w:rsidR="00AA73A2">
        <w:t xml:space="preserve"> </w:t>
      </w:r>
      <w:r w:rsidR="00AA73A2" w:rsidRPr="006A17B9">
        <w:rPr>
          <w:b/>
          <w:i/>
          <w:u w:val="single"/>
        </w:rPr>
        <w:t xml:space="preserve">A fegyelmi eljárás eredményét a bizottság elnöke köteles megküldeni a hallgató képzését </w:t>
      </w:r>
      <w:proofErr w:type="spellStart"/>
      <w:r w:rsidR="00AA73A2" w:rsidRPr="006A17B9">
        <w:rPr>
          <w:b/>
          <w:i/>
          <w:u w:val="single"/>
        </w:rPr>
        <w:t>gesztoráló</w:t>
      </w:r>
      <w:proofErr w:type="spellEnd"/>
      <w:r w:rsidR="00AA73A2" w:rsidRPr="006A17B9">
        <w:rPr>
          <w:b/>
          <w:i/>
          <w:u w:val="single"/>
        </w:rPr>
        <w:t xml:space="preserve"> kar dékánjának</w:t>
      </w:r>
      <w:r w:rsidR="00C817C8" w:rsidRPr="006A17B9">
        <w:rPr>
          <w:b/>
          <w:i/>
          <w:u w:val="single"/>
        </w:rPr>
        <w:t>.</w:t>
      </w:r>
      <w:r w:rsidR="00AA73A2" w:rsidRPr="006A17B9">
        <w:rPr>
          <w:b/>
          <w:i/>
          <w:u w:val="single"/>
        </w:rPr>
        <w:t xml:space="preserve"> </w:t>
      </w:r>
      <w:r w:rsidR="00C817C8" w:rsidRPr="006A17B9">
        <w:rPr>
          <w:b/>
          <w:i/>
          <w:u w:val="single"/>
        </w:rPr>
        <w:t>Amennyiben a kötelezettségszegés súlya alapján a Kar jó hírnevének védelme érdekében ez szükségesnek látszik,</w:t>
      </w:r>
      <w:r w:rsidR="00AA73A2" w:rsidRPr="006A17B9">
        <w:rPr>
          <w:b/>
          <w:i/>
          <w:u w:val="single"/>
        </w:rPr>
        <w:t xml:space="preserve"> </w:t>
      </w:r>
      <w:r w:rsidR="00C817C8" w:rsidRPr="006A17B9">
        <w:rPr>
          <w:b/>
          <w:i/>
          <w:u w:val="single"/>
        </w:rPr>
        <w:t>a GMF KO igazgatója</w:t>
      </w:r>
      <w:r w:rsidR="00AA73A2" w:rsidRPr="006A17B9">
        <w:rPr>
          <w:b/>
          <w:i/>
          <w:u w:val="single"/>
        </w:rPr>
        <w:t xml:space="preserve"> kezdeményezheti </w:t>
      </w:r>
      <w:r w:rsidR="00C817C8" w:rsidRPr="006A17B9">
        <w:rPr>
          <w:b/>
          <w:i/>
          <w:u w:val="single"/>
        </w:rPr>
        <w:t>a karral közös</w:t>
      </w:r>
      <w:r w:rsidR="00AA73A2" w:rsidRPr="006A17B9">
        <w:rPr>
          <w:b/>
          <w:i/>
          <w:u w:val="single"/>
        </w:rPr>
        <w:t xml:space="preserve"> fegyelmi bizottság</w:t>
      </w:r>
      <w:r w:rsidR="00C817C8" w:rsidRPr="006A17B9">
        <w:rPr>
          <w:b/>
          <w:i/>
          <w:u w:val="single"/>
        </w:rPr>
        <w:t xml:space="preserve"> létrehozását</w:t>
      </w:r>
      <w:r w:rsidR="006A17B9">
        <w:rPr>
          <w:rStyle w:val="Lbjegyzet-hivatkozs"/>
          <w:b/>
          <w:i/>
          <w:u w:val="single"/>
        </w:rPr>
        <w:footnoteReference w:id="22"/>
      </w:r>
      <w:r w:rsidR="00AA73A2">
        <w:t>.</w:t>
      </w:r>
      <w:bookmarkEnd w:id="25"/>
    </w:p>
    <w:p w14:paraId="78C72541" w14:textId="77777777" w:rsidR="00EC4462" w:rsidRDefault="000E1969" w:rsidP="00EC4462">
      <w:pPr>
        <w:pStyle w:val="Listaszerbekezds"/>
        <w:numPr>
          <w:ilvl w:val="0"/>
          <w:numId w:val="31"/>
        </w:numPr>
      </w:pPr>
      <w:r>
        <w:t>A kollégiumi fegyelmi bizottság összetétele a következő:</w:t>
      </w:r>
    </w:p>
    <w:p w14:paraId="0AED27C7" w14:textId="77777777" w:rsidR="00EC4462" w:rsidRDefault="000E1969" w:rsidP="00EC4462">
      <w:pPr>
        <w:pStyle w:val="Listaszerbekezds"/>
        <w:numPr>
          <w:ilvl w:val="1"/>
          <w:numId w:val="31"/>
        </w:numPr>
      </w:pPr>
      <w:r>
        <w:t>GMF KO igazgató, vagy az általa delegált személy (a bizottság elnöke);</w:t>
      </w:r>
    </w:p>
    <w:p w14:paraId="471BA5D4" w14:textId="77777777" w:rsidR="00EC4462" w:rsidRDefault="000E1969" w:rsidP="00EC4462">
      <w:pPr>
        <w:pStyle w:val="Listaszerbekezds"/>
        <w:numPr>
          <w:ilvl w:val="1"/>
          <w:numId w:val="31"/>
        </w:numPr>
      </w:pPr>
      <w:r>
        <w:t>A kollégiumi vezető mentor, vagy az általa delegált mentor, vagy (ahol nincs vezető mentor) a mentorok közül a KO i</w:t>
      </w:r>
      <w:r w:rsidR="00EC4462">
        <w:t>gazgatója által kijelölt mentor;</w:t>
      </w:r>
    </w:p>
    <w:p w14:paraId="0AB59A20" w14:textId="77777777" w:rsidR="00EC4462" w:rsidRDefault="000E1969" w:rsidP="00EC4462">
      <w:pPr>
        <w:pStyle w:val="Listaszerbekezds"/>
        <w:numPr>
          <w:ilvl w:val="1"/>
          <w:numId w:val="31"/>
        </w:numPr>
      </w:pPr>
      <w:r w:rsidDel="00202AF3">
        <w:t>Az Egyetemi Hallgatói Képviselet által delegált, hallgatói jogviszonyban álló személy.</w:t>
      </w:r>
    </w:p>
    <w:p w14:paraId="73E66483" w14:textId="77777777" w:rsidR="000E1969" w:rsidRDefault="000E1969" w:rsidP="00EC4462">
      <w:pPr>
        <w:pStyle w:val="Listaszerbekezds"/>
        <w:numPr>
          <w:ilvl w:val="0"/>
          <w:numId w:val="31"/>
        </w:numPr>
      </w:pPr>
      <w:r>
        <w:t>Az ülésekre állandó meghívott</w:t>
      </w:r>
    </w:p>
    <w:p w14:paraId="68AAD9D7" w14:textId="77777777" w:rsidR="000E1969" w:rsidRDefault="000E1969" w:rsidP="006719F8">
      <w:pPr>
        <w:numPr>
          <w:ilvl w:val="1"/>
          <w:numId w:val="19"/>
        </w:numPr>
      </w:pPr>
      <w:r>
        <w:t>a kollégiumért felelős KHK elnöke, vagy az általa delegált személy</w:t>
      </w:r>
      <w:r w:rsidR="00EC4462">
        <w:t>;</w:t>
      </w:r>
    </w:p>
    <w:p w14:paraId="7D740ECE" w14:textId="77777777" w:rsidR="000E1969" w:rsidRDefault="000E1969" w:rsidP="006719F8">
      <w:pPr>
        <w:numPr>
          <w:ilvl w:val="1"/>
          <w:numId w:val="19"/>
        </w:numPr>
      </w:pPr>
      <w:r>
        <w:t>a hallgató KHK elnöke, vagy az általa delegált személy (ha a hallgató KHK elnöke nem azonos a kollégiumért felelős KHK elnökkel), valamint</w:t>
      </w:r>
    </w:p>
    <w:p w14:paraId="6868DEC8" w14:textId="77777777" w:rsidR="00EC4462" w:rsidRDefault="000E1969" w:rsidP="00EC4462">
      <w:pPr>
        <w:numPr>
          <w:ilvl w:val="1"/>
          <w:numId w:val="19"/>
        </w:numPr>
      </w:pPr>
      <w:r>
        <w:t>a kollégium üzemeltető által kijelölt képviselőt is, amennyiben az üzemeltetést a BME harmadik személy útján végzi.</w:t>
      </w:r>
    </w:p>
    <w:p w14:paraId="1A3798DE" w14:textId="77777777" w:rsidR="001261CE" w:rsidRPr="006A17B9" w:rsidRDefault="000E1969" w:rsidP="001261CE">
      <w:pPr>
        <w:numPr>
          <w:ilvl w:val="0"/>
          <w:numId w:val="32"/>
        </w:numPr>
        <w:rPr>
          <w:b/>
          <w:i/>
          <w:u w:val="single"/>
        </w:rPr>
      </w:pPr>
      <w:r>
        <w:t>A kollégiumi fegyelmi bizottság a 3.§-ban leírt büntetések</w:t>
      </w:r>
      <w:r w:rsidR="00E25957">
        <w:t xml:space="preserve"> </w:t>
      </w:r>
      <w:r w:rsidR="00E25957" w:rsidRPr="006A17B9">
        <w:rPr>
          <w:b/>
          <w:i/>
          <w:u w:val="single"/>
        </w:rPr>
        <w:t>közül a 3.§ (1) d) és e) pontokat</w:t>
      </w:r>
      <w:r w:rsidRPr="006A17B9">
        <w:rPr>
          <w:b/>
          <w:i/>
          <w:u w:val="single"/>
        </w:rPr>
        <w:t xml:space="preserve"> </w:t>
      </w:r>
      <w:r w:rsidR="001261CE" w:rsidRPr="006A17B9">
        <w:rPr>
          <w:b/>
          <w:i/>
          <w:u w:val="single"/>
        </w:rPr>
        <w:t xml:space="preserve">az alábbi korlátozásokkal </w:t>
      </w:r>
      <w:r w:rsidRPr="006A17B9">
        <w:t>szabhatja ki</w:t>
      </w:r>
      <w:r w:rsidRPr="006A17B9">
        <w:rPr>
          <w:b/>
          <w:i/>
          <w:u w:val="single"/>
        </w:rPr>
        <w:t>.</w:t>
      </w:r>
      <w:r w:rsidR="001261CE" w:rsidRPr="006A17B9">
        <w:rPr>
          <w:b/>
          <w:i/>
          <w:u w:val="single"/>
        </w:rPr>
        <w:t xml:space="preserve"> A 3.§ (1) </w:t>
      </w:r>
      <w:r w:rsidR="00AD0CE4" w:rsidRPr="006A17B9">
        <w:rPr>
          <w:b/>
          <w:i/>
          <w:u w:val="single"/>
        </w:rPr>
        <w:t xml:space="preserve">c), </w:t>
      </w:r>
      <w:r w:rsidR="001261CE" w:rsidRPr="006A17B9">
        <w:rPr>
          <w:b/>
          <w:i/>
          <w:u w:val="single"/>
        </w:rPr>
        <w:t>d) és e) pontjában foglalt büntetést kizárólag a hallgató képzése szerint illetékes karral közös fegyelmi bizottság szabhat ki.</w:t>
      </w:r>
      <w:r w:rsidRPr="006A17B9">
        <w:rPr>
          <w:b/>
          <w:i/>
          <w:u w:val="single"/>
        </w:rPr>
        <w:t xml:space="preserve"> </w:t>
      </w:r>
      <w:r w:rsidR="001261CE" w:rsidRPr="006A17B9">
        <w:rPr>
          <w:b/>
          <w:i/>
          <w:u w:val="single"/>
        </w:rPr>
        <w:t xml:space="preserve">Abban az esetben, ha a fegyelmi bizottság az illetékes kar nélküli összetételében jár el, </w:t>
      </w:r>
      <w:r w:rsidR="006A17B9">
        <w:rPr>
          <w:rStyle w:val="Lbjegyzet-hivatkozs"/>
          <w:b/>
          <w:i/>
          <w:u w:val="single"/>
        </w:rPr>
        <w:footnoteReference w:id="23"/>
      </w:r>
    </w:p>
    <w:p w14:paraId="61F039F0" w14:textId="77777777" w:rsidR="00E25957" w:rsidRDefault="001261CE" w:rsidP="00E25957">
      <w:pPr>
        <w:numPr>
          <w:ilvl w:val="1"/>
          <w:numId w:val="32"/>
        </w:numPr>
      </w:pPr>
      <w:r>
        <w:t xml:space="preserve">a </w:t>
      </w:r>
      <w:r w:rsidR="000E1969">
        <w:t xml:space="preserve">3.§ (1) </w:t>
      </w:r>
      <w:r w:rsidR="00D26582">
        <w:t xml:space="preserve">(d) pontban meghatározott büntetés </w:t>
      </w:r>
      <w:r>
        <w:t xml:space="preserve">alatt </w:t>
      </w:r>
      <w:r w:rsidR="00D26582">
        <w:t>a kollégiumi férőhely megvonás</w:t>
      </w:r>
      <w:r>
        <w:t>át</w:t>
      </w:r>
      <w:r w:rsidR="00D26582">
        <w:t xml:space="preserve">, valamint a későbbi kollégiumi férőhely pályázatból való </w:t>
      </w:r>
      <w:r w:rsidR="00EB564C">
        <w:t xml:space="preserve">legfeljebb két félévre történő – </w:t>
      </w:r>
      <w:r w:rsidR="00E25957" w:rsidRPr="006A17B9">
        <w:rPr>
          <w:b/>
          <w:i/>
          <w:u w:val="single"/>
        </w:rPr>
        <w:t>kit</w:t>
      </w:r>
      <w:r w:rsidR="00AD0CE4" w:rsidRPr="006A17B9">
        <w:rPr>
          <w:b/>
          <w:i/>
          <w:u w:val="single"/>
        </w:rPr>
        <w:t>i</w:t>
      </w:r>
      <w:r w:rsidR="00E25957" w:rsidRPr="006A17B9">
        <w:rPr>
          <w:b/>
          <w:i/>
          <w:u w:val="single"/>
        </w:rPr>
        <w:t>ltást</w:t>
      </w:r>
      <w:r w:rsidR="006A17B9">
        <w:rPr>
          <w:rStyle w:val="Lbjegyzet-hivatkozs"/>
          <w:b/>
          <w:i/>
          <w:u w:val="single"/>
        </w:rPr>
        <w:footnoteReference w:id="24"/>
      </w:r>
      <w:r w:rsidR="00E25957">
        <w:t xml:space="preserve"> </w:t>
      </w:r>
      <w:r>
        <w:t>kell érteni</w:t>
      </w:r>
      <w:r w:rsidR="00D26582">
        <w:t xml:space="preserve">, </w:t>
      </w:r>
    </w:p>
    <w:p w14:paraId="57EB9C5B" w14:textId="77777777" w:rsidR="000E1969" w:rsidRDefault="00D26582" w:rsidP="00E25957">
      <w:pPr>
        <w:numPr>
          <w:ilvl w:val="1"/>
          <w:numId w:val="32"/>
        </w:numPr>
      </w:pPr>
      <w:r>
        <w:t>a</w:t>
      </w:r>
      <w:r w:rsidR="001261CE">
        <w:t xml:space="preserve"> 3.§ (1)</w:t>
      </w:r>
      <w:r>
        <w:t xml:space="preserve"> </w:t>
      </w:r>
      <w:r w:rsidR="000E1969">
        <w:t xml:space="preserve">(e) pontban meghatározott büntetés </w:t>
      </w:r>
      <w:r w:rsidR="001261CE">
        <w:t xml:space="preserve">alatt </w:t>
      </w:r>
      <w:r w:rsidR="000E1969">
        <w:t>a kizárás a</w:t>
      </w:r>
      <w:r>
        <w:t>z érintett vagy az összes</w:t>
      </w:r>
      <w:r w:rsidR="000E1969">
        <w:t xml:space="preserve"> kollégiumból</w:t>
      </w:r>
      <w:r w:rsidR="00967316">
        <w:t xml:space="preserve"> határozott vagy határozatlan időre</w:t>
      </w:r>
      <w:r w:rsidR="00523289">
        <w:t xml:space="preserve"> </w:t>
      </w:r>
      <w:r w:rsidR="001261CE">
        <w:t>értendő</w:t>
      </w:r>
      <w:r w:rsidR="00523289">
        <w:t xml:space="preserve">. </w:t>
      </w:r>
      <w:r w:rsidR="00967316">
        <w:t>Határozott időre szóló fegyelmi büntetés</w:t>
      </w:r>
      <w:r w:rsidR="00EB564C">
        <w:t xml:space="preserve"> vége csak tanulmányi félév vége lehet</w:t>
      </w:r>
      <w:r w:rsidR="000E1969">
        <w:t>.</w:t>
      </w:r>
    </w:p>
    <w:p w14:paraId="04DA25AE" w14:textId="77777777" w:rsidR="000E1969" w:rsidRDefault="000E1969" w:rsidP="00EC4462">
      <w:pPr>
        <w:numPr>
          <w:ilvl w:val="0"/>
          <w:numId w:val="32"/>
        </w:numPr>
      </w:pPr>
      <w:bookmarkStart w:id="26" w:name="_Ref241299822"/>
      <w:r>
        <w:t>Amennyiben a vétkes vétségét a 2. számú mellékletben meghatározott adatlapon elismeri, külön fegyelmi eljárás lefolytatása nélkül az 1. számú mellékletben meghatározott, úgynevezett fegyelmi pontokat kaphat.</w:t>
      </w:r>
      <w:bookmarkEnd w:id="26"/>
    </w:p>
    <w:p w14:paraId="3FE436CA" w14:textId="77777777" w:rsidR="000E1969" w:rsidRDefault="000E1969" w:rsidP="00EC4462">
      <w:pPr>
        <w:numPr>
          <w:ilvl w:val="0"/>
          <w:numId w:val="32"/>
        </w:numPr>
      </w:pPr>
      <w:r>
        <w:t>A hallgató kollégiumi tagsági jogviszonyából fakadó kötelezettségének megszegése esetén fegyelmi eljárás akkor is megindítható, ha az adott vétség külön nincs feltüntetve az 1. számú mellékletben, de az egyébként súlyos kötelezettségszegésnek minősül vagy minősíthető.</w:t>
      </w:r>
    </w:p>
    <w:p w14:paraId="3116AE2A" w14:textId="77777777" w:rsidR="000E1969" w:rsidRDefault="000E1969" w:rsidP="00EC4462">
      <w:pPr>
        <w:numPr>
          <w:ilvl w:val="0"/>
          <w:numId w:val="32"/>
        </w:numPr>
      </w:pPr>
      <w:r>
        <w:t>A 2. számú mellékletben meghatározott adatlapot a vétség megállapítása után azonnal ki kell tölteni.</w:t>
      </w:r>
    </w:p>
    <w:p w14:paraId="4E243F5F" w14:textId="77777777" w:rsidR="000E1969" w:rsidRDefault="000E1969" w:rsidP="00EC4462">
      <w:pPr>
        <w:numPr>
          <w:ilvl w:val="0"/>
          <w:numId w:val="32"/>
        </w:numPr>
      </w:pPr>
      <w:r>
        <w:t xml:space="preserve">Adott a </w:t>
      </w:r>
      <w:r w:rsidR="00AD4B75">
        <w:fldChar w:fldCharType="begin"/>
      </w:r>
      <w:r w:rsidR="00AD4B75">
        <w:instrText xml:space="preserve"> REF _Ref241299822 \r \h  \* MERGEFORMAT </w:instrText>
      </w:r>
      <w:r w:rsidR="00AD4B75">
        <w:fldChar w:fldCharType="separate"/>
      </w:r>
      <w:r w:rsidR="00DE6E69">
        <w:t>7)</w:t>
      </w:r>
      <w:r w:rsidR="00AD4B75">
        <w:fldChar w:fldCharType="end"/>
      </w:r>
      <w:r>
        <w:t xml:space="preserve"> bekezdés szerint elismert</w:t>
      </w:r>
      <w:r w:rsidR="00A01B7F">
        <w:t>,</w:t>
      </w:r>
      <w:r>
        <w:t xml:space="preserve"> vétség esetén a fegyelmi pontot (az 1. számú mellékletben meghatározott keretek között) </w:t>
      </w:r>
      <w:r w:rsidR="00A01B7F" w:rsidRPr="006A17B9">
        <w:rPr>
          <w:b/>
          <w:i/>
          <w:u w:val="single"/>
        </w:rPr>
        <w:t>a KO igazgatója, a KO igazgatóhelyettesei,</w:t>
      </w:r>
      <w:r w:rsidR="00E96B66">
        <w:t xml:space="preserve"> </w:t>
      </w:r>
      <w:r w:rsidR="00E96B66" w:rsidRPr="006A17B9">
        <w:rPr>
          <w:b/>
          <w:i/>
          <w:u w:val="single"/>
        </w:rPr>
        <w:lastRenderedPageBreak/>
        <w:t>vagy</w:t>
      </w:r>
      <w:r w:rsidR="00A01B7F">
        <w:t xml:space="preserve"> </w:t>
      </w:r>
      <w:r>
        <w:t xml:space="preserve">az </w:t>
      </w:r>
      <w:r w:rsidR="00E96B66" w:rsidRPr="006A17B9">
        <w:rPr>
          <w:b/>
          <w:i/>
          <w:u w:val="single"/>
        </w:rPr>
        <w:t>egyes</w:t>
      </w:r>
      <w:r w:rsidR="003631D8" w:rsidRPr="006A17B9">
        <w:rPr>
          <w:b/>
          <w:i/>
          <w:u w:val="single"/>
        </w:rPr>
        <w:t>,</w:t>
      </w:r>
      <w:r w:rsidR="00E96B66" w:rsidRPr="006A17B9">
        <w:rPr>
          <w:b/>
          <w:i/>
          <w:u w:val="single"/>
        </w:rPr>
        <w:t xml:space="preserve"> érinte</w:t>
      </w:r>
      <w:r w:rsidR="006A17B9">
        <w:rPr>
          <w:b/>
          <w:i/>
          <w:u w:val="single"/>
        </w:rPr>
        <w:t>t</w:t>
      </w:r>
      <w:r w:rsidR="00E96B66" w:rsidRPr="006A17B9">
        <w:rPr>
          <w:b/>
          <w:i/>
          <w:u w:val="single"/>
        </w:rPr>
        <w:t>t</w:t>
      </w:r>
      <w:r w:rsidR="006A17B9">
        <w:rPr>
          <w:rStyle w:val="Lbjegyzet-hivatkozs"/>
          <w:b/>
          <w:i/>
          <w:u w:val="single"/>
        </w:rPr>
        <w:footnoteReference w:id="25"/>
      </w:r>
      <w:r>
        <w:t xml:space="preserve"> kollégiumi épületben erre kijelölt kollégiumi mentor, vagy erre a KO igazgatója és az EHK elnöke által írásban felhatalmazott hallgatói képviselő (a továbbiakban: fegyelmi felelős) állapítja meg, amelynek elfogadását vagy vitatását a hallgató a 2. számú melléklet szerinti adatlapon aláírásával igazolja.</w:t>
      </w:r>
      <w:r w:rsidR="00D24A55">
        <w:t xml:space="preserve"> </w:t>
      </w:r>
      <w:r w:rsidR="00D24A55" w:rsidRPr="006A17B9">
        <w:rPr>
          <w:b/>
          <w:i/>
          <w:u w:val="single"/>
        </w:rPr>
        <w:t xml:space="preserve">A fegyelmi felelős illetékességét a fegyelmi kártyájának felmutatásával is </w:t>
      </w:r>
      <w:r w:rsidR="00EB564C" w:rsidRPr="006A17B9">
        <w:rPr>
          <w:b/>
          <w:i/>
          <w:u w:val="single"/>
        </w:rPr>
        <w:t>igazolja</w:t>
      </w:r>
      <w:r w:rsidR="00D24A55" w:rsidRPr="006A17B9">
        <w:rPr>
          <w:b/>
          <w:i/>
          <w:u w:val="single"/>
        </w:rPr>
        <w:t>, melynek kezelési ügyrendjét a 3. számú melléklet írja le.</w:t>
      </w:r>
      <w:r w:rsidR="006A17B9">
        <w:rPr>
          <w:rStyle w:val="Lbjegyzet-hivatkozs"/>
          <w:b/>
          <w:i/>
          <w:u w:val="single"/>
        </w:rPr>
        <w:footnoteReference w:id="26"/>
      </w:r>
      <w:r>
        <w:t xml:space="preserve"> A fegyelmi pontot megállapító jegyzőkönyv GMF Kollégiumok Osztály Titkársági Csoport részére történő eljuttatásáról a fegyelmi felelős legkésőbb az aláírást követő munkanapon intézkedik.</w:t>
      </w:r>
    </w:p>
    <w:p w14:paraId="5FA00F9A" w14:textId="77777777" w:rsidR="000E1969" w:rsidRDefault="000E1969" w:rsidP="00EC4462">
      <w:pPr>
        <w:numPr>
          <w:ilvl w:val="0"/>
          <w:numId w:val="32"/>
        </w:numPr>
      </w:pPr>
      <w:r>
        <w:t>A fegyelmi pontok számát a GMF Kollégiumok Osztály tartja nyilván. A fegyelmi pontokat megállapító jegyzőkönyvek (2. számú melléklet) eredeti példányát a GMF Kollégiumok Osztály őrzi, az adott vétségért kiszabott fegyelmi pontok elévüléséig.</w:t>
      </w:r>
    </w:p>
    <w:p w14:paraId="1A837CF6" w14:textId="77777777" w:rsidR="000E1969" w:rsidRDefault="000E1969" w:rsidP="00EC4462">
      <w:pPr>
        <w:numPr>
          <w:ilvl w:val="0"/>
          <w:numId w:val="32"/>
        </w:numPr>
      </w:pPr>
      <w:r>
        <w:t>Mindenképpen fegyelmi eljárást kell indítani, ha:</w:t>
      </w:r>
    </w:p>
    <w:p w14:paraId="415DA011" w14:textId="77777777" w:rsidR="000E1969" w:rsidRDefault="000E1969" w:rsidP="00EC4462">
      <w:pPr>
        <w:numPr>
          <w:ilvl w:val="1"/>
          <w:numId w:val="32"/>
        </w:numPr>
      </w:pPr>
      <w:r>
        <w:t>a vétség elkövetésével gyanúsított hallgató ezt kéri;</w:t>
      </w:r>
    </w:p>
    <w:p w14:paraId="3FD27694" w14:textId="77777777" w:rsidR="000E1969" w:rsidRDefault="000E1969" w:rsidP="00EC4462">
      <w:pPr>
        <w:numPr>
          <w:ilvl w:val="1"/>
          <w:numId w:val="32"/>
        </w:numPr>
      </w:pPr>
      <w:r>
        <w:t>a vétség elkövetésével gyanúsított hallgató a vétséget nem ismeri el;</w:t>
      </w:r>
    </w:p>
    <w:p w14:paraId="081BF3C5" w14:textId="77777777" w:rsidR="000E1969" w:rsidRDefault="000E1969" w:rsidP="00EC4462">
      <w:pPr>
        <w:numPr>
          <w:ilvl w:val="1"/>
          <w:numId w:val="32"/>
        </w:numPr>
      </w:pPr>
      <w:r>
        <w:t>a vétség elkövetésével gyanúsított hallgató a vétséget ugyan elismeri, de a megítélt fegyelmi pontok számát vitatja;</w:t>
      </w:r>
    </w:p>
    <w:p w14:paraId="3363848A" w14:textId="77777777" w:rsidR="000E1969" w:rsidRDefault="000E1969" w:rsidP="00EC4462">
      <w:pPr>
        <w:numPr>
          <w:ilvl w:val="1"/>
          <w:numId w:val="32"/>
        </w:numPr>
      </w:pPr>
      <w:r>
        <w:t>a fegyelmi felelős nem találja megfelelő súlyúnak az 1. számú melléklet alapján adható büntetést, és a GMF KO igazgatójánál kezdeményezi fegyelmi eljárás indítását;</w:t>
      </w:r>
    </w:p>
    <w:p w14:paraId="0BE06FE9" w14:textId="77777777" w:rsidR="000E1969" w:rsidRDefault="000E1969" w:rsidP="00EC4462">
      <w:pPr>
        <w:numPr>
          <w:ilvl w:val="1"/>
          <w:numId w:val="32"/>
        </w:numPr>
      </w:pPr>
      <w:r>
        <w:t>a KO igazgatója az adott ügy körülményei, vagy az elkövetés gyakorisága alapján nem találja megfelelő súlyúnak az 1. számú melléklet alapján adható büntetést;</w:t>
      </w:r>
    </w:p>
    <w:p w14:paraId="3C3205F3" w14:textId="77777777" w:rsidR="000E1969" w:rsidRDefault="000E1969" w:rsidP="00EC4462">
      <w:pPr>
        <w:numPr>
          <w:ilvl w:val="1"/>
          <w:numId w:val="32"/>
        </w:numPr>
      </w:pPr>
      <w:r>
        <w:t xml:space="preserve">a vétség elkövetésével gyanúsított hallgató fegyelmi pontjai az adott vétségért kapott pontokkal együtt már </w:t>
      </w:r>
      <w:r w:rsidR="00BE1056" w:rsidRPr="006A17B9">
        <w:rPr>
          <w:b/>
          <w:i/>
          <w:u w:val="single"/>
        </w:rPr>
        <w:t>elérnék</w:t>
      </w:r>
      <w:r w:rsidR="006A17B9">
        <w:rPr>
          <w:rStyle w:val="Lbjegyzet-hivatkozs"/>
          <w:b/>
          <w:i/>
          <w:u w:val="single"/>
        </w:rPr>
        <w:footnoteReference w:id="27"/>
      </w:r>
      <w:r w:rsidR="00BE1056">
        <w:t xml:space="preserve"> </w:t>
      </w:r>
      <w:r>
        <w:t>a 10 pontot</w:t>
      </w:r>
      <w:r w:rsidR="00746D35">
        <w:t>;</w:t>
      </w:r>
    </w:p>
    <w:p w14:paraId="661B1FFB" w14:textId="77777777" w:rsidR="00746D35" w:rsidRPr="006A17B9" w:rsidRDefault="00746D35" w:rsidP="00EC4462">
      <w:pPr>
        <w:numPr>
          <w:ilvl w:val="1"/>
          <w:numId w:val="32"/>
        </w:numPr>
        <w:rPr>
          <w:b/>
          <w:i/>
          <w:u w:val="single"/>
        </w:rPr>
      </w:pPr>
      <w:r w:rsidRPr="006A17B9">
        <w:rPr>
          <w:b/>
          <w:i/>
          <w:u w:val="single"/>
        </w:rPr>
        <w:t>a vétség elkövetésével gyanúsított hallgatót a legutóbbi két aktív félévében lefolytatott fegyelmi eljárás során már szigorú megrovásban</w:t>
      </w:r>
      <w:r w:rsidR="00D03FD5" w:rsidRPr="006A17B9">
        <w:rPr>
          <w:b/>
          <w:i/>
          <w:u w:val="single"/>
        </w:rPr>
        <w:t>, vagy annál súlyosabb</w:t>
      </w:r>
      <w:r w:rsidR="00082463" w:rsidRPr="006A17B9">
        <w:rPr>
          <w:b/>
          <w:i/>
          <w:u w:val="single"/>
        </w:rPr>
        <w:t xml:space="preserve"> </w:t>
      </w:r>
      <w:r w:rsidR="00AD693E" w:rsidRPr="006A17B9">
        <w:rPr>
          <w:b/>
          <w:i/>
          <w:u w:val="single"/>
        </w:rPr>
        <w:t>büntetés</w:t>
      </w:r>
      <w:r w:rsidR="00082463" w:rsidRPr="006A17B9">
        <w:rPr>
          <w:b/>
          <w:i/>
          <w:u w:val="single"/>
        </w:rPr>
        <w:t>ben</w:t>
      </w:r>
      <w:r w:rsidRPr="006A17B9">
        <w:rPr>
          <w:b/>
          <w:i/>
          <w:u w:val="single"/>
        </w:rPr>
        <w:t xml:space="preserve"> részesítették.</w:t>
      </w:r>
      <w:r w:rsidR="006A17B9">
        <w:rPr>
          <w:rStyle w:val="Lbjegyzet-hivatkozs"/>
          <w:b/>
          <w:i/>
          <w:u w:val="single"/>
        </w:rPr>
        <w:footnoteReference w:id="28"/>
      </w:r>
    </w:p>
    <w:p w14:paraId="39A6BED2" w14:textId="77777777" w:rsidR="000E1969" w:rsidRPr="001D4A57" w:rsidRDefault="000E1969" w:rsidP="00EC4462">
      <w:pPr>
        <w:numPr>
          <w:ilvl w:val="0"/>
          <w:numId w:val="32"/>
        </w:numPr>
      </w:pPr>
      <w:bookmarkStart w:id="27" w:name="_Ref248135373"/>
      <w:r>
        <w:t xml:space="preserve">Amennyiben a fegyelmi vétséget a kollégium területén, ugyanakkor nem, vagy nem kizárólag a kollégiumi tagsági jogviszonyból származó kötelességek megszegésével </w:t>
      </w:r>
      <w:r w:rsidRPr="001D4A57">
        <w:t>követték el, a kollégiumi fegyelmi bizottság jogosult a vétkes ellen az általános szabályok szerint illetékes fegyelmi jogkört gyakorlónál fegyelmi eljárást kezdeményezni, és az ügyben keletkezett iratokat az általános szabályok szerint fegyelmi eljárás lefolytatására jogosultnak átadni.</w:t>
      </w:r>
      <w:bookmarkEnd w:id="27"/>
    </w:p>
    <w:p w14:paraId="4CF34193" w14:textId="77777777" w:rsidR="000E1969" w:rsidRDefault="000E1969" w:rsidP="00EC4462">
      <w:pPr>
        <w:numPr>
          <w:ilvl w:val="0"/>
          <w:numId w:val="32"/>
        </w:numPr>
      </w:pPr>
      <w:r w:rsidRPr="00E4113C">
        <w:t>Kollégiumi tagsági jogviszonnyal nem rendelkező hallgató, vagy nem a kötelezettségszegéssel érintett kollégiumba felvett hallgató (a továbbiakban vendég), ha egy kollégiumi tagsági jogviszonnyal rendelkező hallgató (továbbiakban kollégista) felelősségére és hozzájárulásával lép a kollégiumi területére, akkor a kollégista a vendég vendégfogadója lesz.</w:t>
      </w:r>
    </w:p>
    <w:p w14:paraId="2B278297" w14:textId="77777777" w:rsidR="000E1969" w:rsidRDefault="000E1969" w:rsidP="00EC4462">
      <w:pPr>
        <w:numPr>
          <w:ilvl w:val="0"/>
          <w:numId w:val="32"/>
        </w:numPr>
      </w:pPr>
      <w:r>
        <w:t xml:space="preserve">A vendégfogadó köteles a vendégét tájékoztatni a kollégiumban tartózkodás szabályairól, és köteles vendégével maradéktalanul betartatni. Ezen kötelezettsége elmulasztása fegyelmi vétségnek minősül. </w:t>
      </w:r>
      <w:r w:rsidRPr="00E4113C">
        <w:t xml:space="preserve">Amennyiben a vendég követ el fegyelmi vétséget, akkor mind a vendég, mind a vendégfogadója fegyelmi pontot kap a fentiekben megállapított szabályok szerint, </w:t>
      </w:r>
      <w:r>
        <w:t>azzal a kiegészítéssel, hogy a vendégfogadó fele annyi pontot kap, mint a vendége, és a vendég által okozott kárért készfizető kezesség terheli</w:t>
      </w:r>
      <w:r w:rsidR="005D1107">
        <w:t>.</w:t>
      </w:r>
    </w:p>
    <w:p w14:paraId="25C99AB2" w14:textId="77777777" w:rsidR="000E1969" w:rsidRPr="006A17B9" w:rsidRDefault="000E1969" w:rsidP="00EC4462">
      <w:pPr>
        <w:numPr>
          <w:ilvl w:val="0"/>
          <w:numId w:val="32"/>
        </w:numPr>
        <w:rPr>
          <w:b/>
          <w:i/>
          <w:u w:val="single"/>
        </w:rPr>
      </w:pPr>
      <w:r>
        <w:t xml:space="preserve">Amennyiben a vendégnek összegyűlik 10 pontja, ellene a </w:t>
      </w:r>
      <w:r w:rsidR="00DA23BA" w:rsidRPr="006A17B9">
        <w:rPr>
          <w:b/>
          <w:i/>
          <w:u w:val="single"/>
        </w:rPr>
        <w:fldChar w:fldCharType="begin"/>
      </w:r>
      <w:r w:rsidR="003F6BF3" w:rsidRPr="006A17B9">
        <w:rPr>
          <w:b/>
          <w:i/>
          <w:u w:val="single"/>
        </w:rPr>
        <w:instrText xml:space="preserve"> REF _Ref350617268 \r \h </w:instrText>
      </w:r>
      <w:r w:rsidR="006A17B9" w:rsidRPr="006A17B9">
        <w:rPr>
          <w:b/>
          <w:i/>
          <w:u w:val="single"/>
        </w:rPr>
        <w:instrText xml:space="preserve"> \* MERGEFORMAT </w:instrText>
      </w:r>
      <w:r w:rsidR="00DA23BA" w:rsidRPr="006A17B9">
        <w:rPr>
          <w:b/>
          <w:i/>
          <w:u w:val="single"/>
        </w:rPr>
      </w:r>
      <w:r w:rsidR="00DA23BA" w:rsidRPr="006A17B9">
        <w:rPr>
          <w:b/>
          <w:i/>
          <w:u w:val="single"/>
        </w:rPr>
        <w:fldChar w:fldCharType="separate"/>
      </w:r>
      <w:r w:rsidR="00DE6E69">
        <w:rPr>
          <w:b/>
          <w:i/>
          <w:u w:val="single"/>
        </w:rPr>
        <w:t>3)</w:t>
      </w:r>
      <w:r w:rsidR="00DA23BA" w:rsidRPr="006A17B9">
        <w:rPr>
          <w:b/>
          <w:i/>
          <w:u w:val="single"/>
        </w:rPr>
        <w:fldChar w:fldCharType="end"/>
      </w:r>
      <w:r w:rsidR="006A17B9">
        <w:rPr>
          <w:rStyle w:val="Lbjegyzet-hivatkozs"/>
          <w:b/>
          <w:i/>
          <w:u w:val="single"/>
        </w:rPr>
        <w:footnoteReference w:id="29"/>
      </w:r>
      <w:r>
        <w:t xml:space="preserve"> bekezdés szerinti fegyelmi bizottság jogosult a fegyelmi eljárás lefolytatására azzal, hogy a </w:t>
      </w:r>
      <w:r w:rsidR="00AD4B75">
        <w:fldChar w:fldCharType="begin"/>
      </w:r>
      <w:r w:rsidR="00AD4B75">
        <w:instrText xml:space="preserve"> REF _Ref248135373 \r \h  \* MERGEFORMAT </w:instrText>
      </w:r>
      <w:r w:rsidR="00AD4B75">
        <w:fldChar w:fldCharType="separate"/>
      </w:r>
      <w:r w:rsidR="00DE6E69">
        <w:t>13)</w:t>
      </w:r>
      <w:r w:rsidR="00AD4B75">
        <w:fldChar w:fldCharType="end"/>
      </w:r>
      <w:r>
        <w:t xml:space="preserve"> bekezdés rendelkezéseit is értelemszerűen alkalmazni kell. A fegyelmi eljárásba a vendégfogadót is </w:t>
      </w:r>
      <w:r>
        <w:lastRenderedPageBreak/>
        <w:t>be kell vonni</w:t>
      </w:r>
      <w:r w:rsidR="00EB564C">
        <w:t xml:space="preserve">. </w:t>
      </w:r>
      <w:r w:rsidR="00EB564C" w:rsidRPr="006A17B9">
        <w:rPr>
          <w:b/>
          <w:i/>
          <w:u w:val="single"/>
        </w:rPr>
        <w:t>és ha a vendége fegyelmi vétsége bebizonyosodik, és a fegyelmi vétség elhárításában nem működött együtt, feltéve, hogy más, ennél súlyosabb fegyelmi vétséget nem</w:t>
      </w:r>
      <w:r w:rsidR="004B314F" w:rsidRPr="006A17B9">
        <w:rPr>
          <w:b/>
          <w:i/>
          <w:u w:val="single"/>
        </w:rPr>
        <w:t xml:space="preserve"> </w:t>
      </w:r>
      <w:r w:rsidR="00EB564C" w:rsidRPr="006A17B9">
        <w:rPr>
          <w:b/>
          <w:i/>
          <w:u w:val="single"/>
        </w:rPr>
        <w:t xml:space="preserve">követett </w:t>
      </w:r>
      <w:proofErr w:type="gramStart"/>
      <w:r w:rsidR="00EB564C" w:rsidRPr="006A17B9">
        <w:rPr>
          <w:b/>
          <w:i/>
          <w:u w:val="single"/>
        </w:rPr>
        <w:t xml:space="preserve">el,  </w:t>
      </w:r>
      <w:r w:rsidR="005D1107" w:rsidRPr="006A17B9">
        <w:rPr>
          <w:b/>
          <w:i/>
          <w:u w:val="single"/>
        </w:rPr>
        <w:t>5</w:t>
      </w:r>
      <w:proofErr w:type="gramEnd"/>
      <w:r w:rsidR="005D1107" w:rsidRPr="006A17B9">
        <w:rPr>
          <w:b/>
          <w:i/>
          <w:u w:val="single"/>
        </w:rPr>
        <w:t xml:space="preserve"> </w:t>
      </w:r>
      <w:r w:rsidR="00EB564C" w:rsidRPr="006A17B9">
        <w:rPr>
          <w:b/>
          <w:i/>
          <w:u w:val="single"/>
        </w:rPr>
        <w:t xml:space="preserve">fegyelmi </w:t>
      </w:r>
      <w:r w:rsidR="005D1107" w:rsidRPr="006A17B9">
        <w:rPr>
          <w:b/>
          <w:i/>
          <w:u w:val="single"/>
        </w:rPr>
        <w:t>pont</w:t>
      </w:r>
      <w:r w:rsidR="00EB564C" w:rsidRPr="006A17B9">
        <w:rPr>
          <w:b/>
          <w:i/>
          <w:u w:val="single"/>
        </w:rPr>
        <w:t xml:space="preserve">ot kap. </w:t>
      </w:r>
      <w:r w:rsidR="006A17B9">
        <w:rPr>
          <w:rStyle w:val="Lbjegyzet-hivatkozs"/>
          <w:b/>
          <w:i/>
          <w:u w:val="single"/>
        </w:rPr>
        <w:footnoteReference w:id="30"/>
      </w:r>
    </w:p>
    <w:p w14:paraId="42406F36" w14:textId="77777777" w:rsidR="000E1969" w:rsidRPr="006A17B9" w:rsidRDefault="000E1969" w:rsidP="00EC4462">
      <w:pPr>
        <w:numPr>
          <w:ilvl w:val="0"/>
          <w:numId w:val="32"/>
        </w:numPr>
        <w:rPr>
          <w:b/>
          <w:i/>
        </w:rPr>
      </w:pPr>
      <w:r>
        <w:t>A fegyelmi pontok érvényessége 365 nap</w:t>
      </w:r>
      <w:r w:rsidR="00BE1056">
        <w:t xml:space="preserve">, </w:t>
      </w:r>
      <w:r w:rsidR="00BE1056" w:rsidRPr="00AE4548">
        <w:rPr>
          <w:b/>
          <w:i/>
          <w:u w:val="single"/>
        </w:rPr>
        <w:t>a kollégiumi fegyelmi ügyben megítélt megrovás</w:t>
      </w:r>
      <w:r w:rsidR="00A9320B" w:rsidRPr="00AE4548">
        <w:rPr>
          <w:b/>
          <w:i/>
          <w:u w:val="single"/>
        </w:rPr>
        <w:t xml:space="preserve"> és</w:t>
      </w:r>
      <w:r w:rsidR="00BE1056" w:rsidRPr="00AE4548">
        <w:rPr>
          <w:b/>
          <w:i/>
          <w:u w:val="single"/>
        </w:rPr>
        <w:t xml:space="preserve"> szigorú megrovás a követ</w:t>
      </w:r>
      <w:r w:rsidR="00746D35" w:rsidRPr="00AE4548">
        <w:rPr>
          <w:b/>
          <w:i/>
          <w:u w:val="single"/>
        </w:rPr>
        <w:t>kez</w:t>
      </w:r>
      <w:r w:rsidR="00BE1056" w:rsidRPr="00AE4548">
        <w:rPr>
          <w:b/>
          <w:i/>
          <w:u w:val="single"/>
        </w:rPr>
        <w:t>ő</w:t>
      </w:r>
      <w:r w:rsidR="00746D35" w:rsidRPr="00AE4548">
        <w:rPr>
          <w:b/>
          <w:i/>
          <w:u w:val="single"/>
        </w:rPr>
        <w:t xml:space="preserve"> két aktív félévében</w:t>
      </w:r>
      <w:r w:rsidR="00DF3BCC" w:rsidRPr="00AE4548">
        <w:rPr>
          <w:b/>
          <w:i/>
          <w:u w:val="single"/>
        </w:rPr>
        <w:t xml:space="preserve"> hatályos</w:t>
      </w:r>
      <w:r w:rsidRPr="00AE4548">
        <w:rPr>
          <w:b/>
          <w:i/>
          <w:u w:val="single"/>
        </w:rPr>
        <w:t>.</w:t>
      </w:r>
      <w:r w:rsidR="006A17B9">
        <w:rPr>
          <w:rStyle w:val="Lbjegyzet-hivatkozs"/>
          <w:b/>
          <w:i/>
        </w:rPr>
        <w:footnoteReference w:id="31"/>
      </w:r>
    </w:p>
    <w:p w14:paraId="3CF74E92" w14:textId="77777777" w:rsidR="000E1969" w:rsidRPr="00187E79" w:rsidRDefault="000E1969" w:rsidP="00EC4462">
      <w:pPr>
        <w:numPr>
          <w:ilvl w:val="0"/>
          <w:numId w:val="32"/>
        </w:numPr>
      </w:pPr>
      <w:r>
        <w:t>Amennyiben a hallgató ellen kollégiumi fegyelmi eljárás indul, a fegyelmi bizottság rendelkezésére kell bocsátani a hallgató összes érvényes fegyelmi pontját megállapító jegyzőkönyvet.</w:t>
      </w:r>
    </w:p>
    <w:p w14:paraId="768E1CB7" w14:textId="77777777" w:rsidR="00301A70" w:rsidRDefault="00301A70" w:rsidP="00AB50E6">
      <w:pPr>
        <w:pStyle w:val="paragrafus"/>
      </w:pPr>
      <w:r>
        <w:t>10. §</w:t>
      </w:r>
    </w:p>
    <w:p w14:paraId="44F084FA" w14:textId="77777777" w:rsidR="00301A70" w:rsidRPr="00C1769E" w:rsidRDefault="00301A70" w:rsidP="008440D9">
      <w:pPr>
        <w:pStyle w:val="Cmsor1"/>
        <w:rPr>
          <w:szCs w:val="24"/>
        </w:rPr>
      </w:pPr>
      <w:bookmarkStart w:id="28" w:name="_Toc252268631"/>
      <w:bookmarkStart w:id="29" w:name="_Toc13128461"/>
      <w:r>
        <w:rPr>
          <w:szCs w:val="24"/>
        </w:rPr>
        <w:t>A kártérítési felelősség</w:t>
      </w:r>
      <w:bookmarkEnd w:id="28"/>
      <w:bookmarkEnd w:id="29"/>
    </w:p>
    <w:p w14:paraId="5A2A4542" w14:textId="77777777" w:rsidR="00301A70" w:rsidRDefault="00301A70" w:rsidP="00A94F65">
      <w:pPr>
        <w:numPr>
          <w:ilvl w:val="0"/>
          <w:numId w:val="20"/>
        </w:numPr>
      </w:pPr>
      <w:r>
        <w:t>Jelen szabályzat alkalmazásában a kár a Budapesti Műszaki és Gazdaságtudományi Egyetem vagyonában bekövetkezett csökkenés, amely a hallgatónak felróható jogellenes magatartással (tevékenységgel vagy mulasztással) okozati összefüggésben következett be.</w:t>
      </w:r>
    </w:p>
    <w:p w14:paraId="22AFD809" w14:textId="77777777" w:rsidR="00301A70" w:rsidRDefault="00301A70" w:rsidP="00A94F65">
      <w:pPr>
        <w:numPr>
          <w:ilvl w:val="0"/>
          <w:numId w:val="20"/>
        </w:numPr>
      </w:pPr>
      <w:r>
        <w:t>A hallgató a tanulmányi kötelezettségeinek teljesítésével összefüggésben</w:t>
      </w:r>
      <w:r w:rsidR="006A4910">
        <w:t>, illetve hallgatói jogviszonya alatt</w:t>
      </w:r>
      <w:r>
        <w:t xml:space="preserve"> a BME-nek, kollégiumnak, illetőleg a gyakorlati oktatásban (szakmai gyakorlaton) való részvétel során a foglalkoztatónak jogellenesen okozott kárért kártérítési felelősséggel tartozik /</w:t>
      </w:r>
      <w:r w:rsidR="000413F8" w:rsidRPr="00AE4548">
        <w:rPr>
          <w:b/>
          <w:i/>
          <w:u w:val="single"/>
        </w:rPr>
        <w:t>Nf</w:t>
      </w:r>
      <w:r>
        <w:t xml:space="preserve">tv. </w:t>
      </w:r>
      <w:r w:rsidR="000413F8" w:rsidRPr="00AE4548">
        <w:rPr>
          <w:b/>
          <w:i/>
          <w:u w:val="single"/>
        </w:rPr>
        <w:t>56</w:t>
      </w:r>
      <w:r w:rsidRPr="00AE4548">
        <w:rPr>
          <w:b/>
          <w:i/>
          <w:u w:val="single"/>
        </w:rPr>
        <w:t>.</w:t>
      </w:r>
      <w:r>
        <w:t>§(1)/</w:t>
      </w:r>
      <w:r w:rsidR="00AE4548">
        <w:rPr>
          <w:rStyle w:val="Lbjegyzet-hivatkozs"/>
        </w:rPr>
        <w:footnoteReference w:id="32"/>
      </w:r>
      <w:r>
        <w:t>.</w:t>
      </w:r>
    </w:p>
    <w:p w14:paraId="4EFF89B1" w14:textId="77777777" w:rsidR="00AE4548" w:rsidRDefault="00AE4548" w:rsidP="00A94F65">
      <w:pPr>
        <w:numPr>
          <w:ilvl w:val="0"/>
          <w:numId w:val="20"/>
        </w:numPr>
      </w:pPr>
      <w:r>
        <w:rPr>
          <w:rStyle w:val="Lbjegyzet-hivatkozs"/>
        </w:rPr>
        <w:footnoteReference w:id="33"/>
      </w:r>
    </w:p>
    <w:p w14:paraId="3C521C86" w14:textId="77777777" w:rsidR="00301A70" w:rsidRDefault="00301A70" w:rsidP="00A94F65">
      <w:pPr>
        <w:numPr>
          <w:ilvl w:val="0"/>
          <w:numId w:val="20"/>
        </w:numPr>
      </w:pPr>
      <w:r>
        <w:t>A hallgató vétkességét, a kár bekövetkeztét, annak mértékét, valamint az okozati összefüggést a BME-nek kell bizonyítani.</w:t>
      </w:r>
    </w:p>
    <w:p w14:paraId="351D16A0" w14:textId="77777777" w:rsidR="00301A70" w:rsidRDefault="00301A70" w:rsidP="00A94F65">
      <w:pPr>
        <w:numPr>
          <w:ilvl w:val="0"/>
          <w:numId w:val="20"/>
        </w:numPr>
      </w:pPr>
      <w:r>
        <w:t>Gondatlan károkozás esetén a hallgató felelőssége korlátozott; a kártérítés mértéke nem haladhatja meg a károkozás napján érvényes legkisebb kötelező munkabér (minimálbér) egyhavi összegének ötven százalékát /</w:t>
      </w:r>
      <w:r w:rsidR="00B96DF5" w:rsidRPr="00AE4548">
        <w:rPr>
          <w:b/>
          <w:i/>
          <w:u w:val="single"/>
        </w:rPr>
        <w:t>Nftv</w:t>
      </w:r>
      <w:r w:rsidRPr="00AE4548">
        <w:rPr>
          <w:b/>
          <w:i/>
          <w:u w:val="single"/>
        </w:rPr>
        <w:t xml:space="preserve">. </w:t>
      </w:r>
      <w:r w:rsidR="00B96DF5" w:rsidRPr="00AE4548">
        <w:rPr>
          <w:b/>
          <w:i/>
          <w:u w:val="single"/>
        </w:rPr>
        <w:t>56</w:t>
      </w:r>
      <w:r>
        <w:t>. § (2)/.</w:t>
      </w:r>
      <w:r w:rsidR="00AE4548">
        <w:rPr>
          <w:rStyle w:val="Lbjegyzet-hivatkozs"/>
        </w:rPr>
        <w:footnoteReference w:id="34"/>
      </w:r>
    </w:p>
    <w:p w14:paraId="37F9B8B7" w14:textId="77777777" w:rsidR="00301A70" w:rsidRDefault="00301A70" w:rsidP="00A94F65">
      <w:pPr>
        <w:numPr>
          <w:ilvl w:val="0"/>
          <w:numId w:val="20"/>
        </w:numPr>
      </w:pPr>
      <w:r>
        <w:t>Gondatlanul az okoz kárt, aki magatartásának káros következményeit előre látta, azonban annak elmaradásában könnyelműen bízott, illetve aki azért nem látta előre magatartásának káros következményeit, mert az elvárható figyelmet vagy körültekintést elmulasztotta.</w:t>
      </w:r>
    </w:p>
    <w:p w14:paraId="02300DFD" w14:textId="77777777" w:rsidR="00301A70" w:rsidRDefault="00301A70" w:rsidP="00A94F65">
      <w:pPr>
        <w:numPr>
          <w:ilvl w:val="0"/>
          <w:numId w:val="20"/>
        </w:numPr>
      </w:pPr>
      <w:r>
        <w:t>Szándékos károkozás esetén a hallgató a teljes kárt köteles megtéríteni /</w:t>
      </w:r>
      <w:r w:rsidR="00B96DF5" w:rsidRPr="00AE4548">
        <w:rPr>
          <w:b/>
          <w:i/>
          <w:u w:val="single"/>
        </w:rPr>
        <w:t>Nf</w:t>
      </w:r>
      <w:r>
        <w:t xml:space="preserve">tv. </w:t>
      </w:r>
      <w:r w:rsidR="00B96DF5" w:rsidRPr="00AE4548">
        <w:rPr>
          <w:b/>
          <w:i/>
          <w:u w:val="single"/>
        </w:rPr>
        <w:t>56</w:t>
      </w:r>
      <w:r>
        <w:t>.§ (2)/.</w:t>
      </w:r>
      <w:r w:rsidR="00AE4548">
        <w:rPr>
          <w:rStyle w:val="Lbjegyzet-hivatkozs"/>
        </w:rPr>
        <w:footnoteReference w:id="35"/>
      </w:r>
    </w:p>
    <w:p w14:paraId="08955DA8" w14:textId="77777777" w:rsidR="00301A70" w:rsidRDefault="00301A70" w:rsidP="00A94F65">
      <w:pPr>
        <w:numPr>
          <w:ilvl w:val="0"/>
          <w:numId w:val="20"/>
        </w:numPr>
      </w:pPr>
      <w:r>
        <w:t>Szándékosan az okoz kárt, aki magatartásának káros következményét kívánva, vagy abba belenyugodva hajtja végre cselekményét.</w:t>
      </w:r>
    </w:p>
    <w:p w14:paraId="6536B918" w14:textId="77777777" w:rsidR="00301A70" w:rsidRDefault="00301A70" w:rsidP="00A94F65">
      <w:pPr>
        <w:numPr>
          <w:ilvl w:val="0"/>
          <w:numId w:val="20"/>
        </w:numPr>
      </w:pPr>
      <w:r>
        <w:t>Ha több hallgató közösen okoz kárt, felelősségük a BME-vel szemben egyetemleges</w:t>
      </w:r>
      <w:r w:rsidR="006A4910">
        <w:t>.</w:t>
      </w:r>
    </w:p>
    <w:p w14:paraId="7F67ADFD" w14:textId="77777777" w:rsidR="00301A70" w:rsidRDefault="00301A70" w:rsidP="00A94F65">
      <w:pPr>
        <w:numPr>
          <w:ilvl w:val="0"/>
          <w:numId w:val="20"/>
        </w:numPr>
      </w:pPr>
      <w:r>
        <w:t>A hallgató a jegyzékkel vagy átvételi elismervénnyel visszaszolgáltatási vagy elszámolási kötelezettséggel átvett dolgokban bekövetkezett hiányért, kárért teljes kártérítési felelősséggel tartozik, feltéve, hogy azt állandóan őrizetben tartja, kizárólagosan használja vagy kezeli. Mentesül a felelősség alól, ha a hiányt elháríthatatlan ok idézte elő /</w:t>
      </w:r>
      <w:r w:rsidR="00B96DF5" w:rsidRPr="00AE4548">
        <w:rPr>
          <w:b/>
          <w:i/>
          <w:u w:val="single"/>
        </w:rPr>
        <w:t>Nf</w:t>
      </w:r>
      <w:r>
        <w:t xml:space="preserve">tv. </w:t>
      </w:r>
      <w:r w:rsidR="00B96DF5" w:rsidRPr="00AE4548">
        <w:rPr>
          <w:b/>
          <w:i/>
          <w:u w:val="single"/>
        </w:rPr>
        <w:t>56</w:t>
      </w:r>
      <w:r>
        <w:t>.§ (3)/.</w:t>
      </w:r>
      <w:r w:rsidR="00AE4548">
        <w:rPr>
          <w:rStyle w:val="Lbjegyzet-hivatkozs"/>
        </w:rPr>
        <w:footnoteReference w:id="36"/>
      </w:r>
    </w:p>
    <w:p w14:paraId="478AC37D" w14:textId="77777777" w:rsidR="00301A70" w:rsidRDefault="00301A70" w:rsidP="00A94F65">
      <w:pPr>
        <w:numPr>
          <w:ilvl w:val="0"/>
          <w:numId w:val="20"/>
        </w:numPr>
      </w:pPr>
      <w:r>
        <w:t>Mentesül a hallgató a kártérítési felelősség alól, ha bizonyítja, hogy úgy járt el, ahogy az adott helyzetben általában elvárható.</w:t>
      </w:r>
    </w:p>
    <w:p w14:paraId="317A6090" w14:textId="77777777" w:rsidR="00301A70" w:rsidRDefault="00301A70" w:rsidP="00A94F65">
      <w:pPr>
        <w:numPr>
          <w:ilvl w:val="0"/>
          <w:numId w:val="20"/>
        </w:numPr>
      </w:pPr>
      <w:r>
        <w:t>Mentesül a hallgató a kártérítési felelősség alól, ha a károkozás a tanulási folyamattal együtt járó felügyelet hiányosságára vezethető vissza.</w:t>
      </w:r>
      <w:r w:rsidR="00241440">
        <w:t xml:space="preserve"> Ebben az esetben az őt felügyelő oktatót kell felelősségre vonni.</w:t>
      </w:r>
    </w:p>
    <w:p w14:paraId="3ED73919" w14:textId="77777777" w:rsidR="00301A70" w:rsidRDefault="00301A70" w:rsidP="00B76A40">
      <w:pPr>
        <w:pStyle w:val="paragrafus"/>
      </w:pPr>
      <w:r>
        <w:lastRenderedPageBreak/>
        <w:t>11. §</w:t>
      </w:r>
    </w:p>
    <w:p w14:paraId="61B6442E" w14:textId="77777777" w:rsidR="00301A70" w:rsidRPr="00C1769E" w:rsidRDefault="00301A70" w:rsidP="008440D9">
      <w:pPr>
        <w:pStyle w:val="Cmsor1"/>
        <w:rPr>
          <w:szCs w:val="24"/>
        </w:rPr>
      </w:pPr>
      <w:bookmarkStart w:id="30" w:name="_Toc252268632"/>
      <w:bookmarkStart w:id="31" w:name="_Toc13128462"/>
      <w:r>
        <w:rPr>
          <w:szCs w:val="24"/>
        </w:rPr>
        <w:t>A megrongált, elveszett vagyontárgy értékének megállapít</w:t>
      </w:r>
      <w:r w:rsidRPr="00187E79">
        <w:t>ása</w:t>
      </w:r>
      <w:bookmarkEnd w:id="30"/>
      <w:bookmarkEnd w:id="31"/>
    </w:p>
    <w:p w14:paraId="28627938" w14:textId="77777777" w:rsidR="00301A70" w:rsidRDefault="00301A70" w:rsidP="00A94F65">
      <w:pPr>
        <w:numPr>
          <w:ilvl w:val="0"/>
          <w:numId w:val="21"/>
        </w:numPr>
      </w:pPr>
      <w:r>
        <w:t>A kár összegének meghatározásakor, ha a dolog megrongálódott, a javításra fordított kiadást és a javítás ellenére még fennmaradó értékcsökkenést - az amortizációra tekintettel - kell figyelembe venni.</w:t>
      </w:r>
    </w:p>
    <w:p w14:paraId="64D13162" w14:textId="77777777" w:rsidR="00301A70" w:rsidRDefault="00301A70" w:rsidP="00A94F65">
      <w:pPr>
        <w:numPr>
          <w:ilvl w:val="0"/>
          <w:numId w:val="21"/>
        </w:numPr>
      </w:pPr>
      <w:r>
        <w:t xml:space="preserve">Ha a dolog megsemmisült, használhatatlanná vált, illetve nincs meg, a károkozás időpontjában érvényes </w:t>
      </w:r>
      <w:r w:rsidR="00937A12">
        <w:t>piaci értéket</w:t>
      </w:r>
      <w:r>
        <w:t xml:space="preserve"> kell figyelembe venni, ha ez nem állapítható meg, a</w:t>
      </w:r>
      <w:r w:rsidR="006A4910">
        <w:t>z újraelőállítási</w:t>
      </w:r>
      <w:r>
        <w:t xml:space="preserve"> érték </w:t>
      </w:r>
      <w:r w:rsidR="00937A12">
        <w:t xml:space="preserve">(amellyel a megsemmisült vagyontárgy pótolható), illetve nem pótolható vagyontárgy esetén a beszerzési érték </w:t>
      </w:r>
      <w:r>
        <w:t>az alap.</w:t>
      </w:r>
    </w:p>
    <w:p w14:paraId="486066DA" w14:textId="77777777" w:rsidR="00301A70" w:rsidRDefault="00301A70" w:rsidP="00A94F65">
      <w:pPr>
        <w:numPr>
          <w:ilvl w:val="0"/>
          <w:numId w:val="21"/>
        </w:numPr>
      </w:pPr>
      <w:r>
        <w:t>A kár megállapításánál az elmaradt hasz</w:t>
      </w:r>
      <w:r w:rsidR="00937A12">
        <w:t>not is figyelembe kell venni.</w:t>
      </w:r>
    </w:p>
    <w:p w14:paraId="35568267" w14:textId="77777777" w:rsidR="00301A70" w:rsidRDefault="00301A70" w:rsidP="00A94F65">
      <w:pPr>
        <w:numPr>
          <w:ilvl w:val="0"/>
          <w:numId w:val="21"/>
        </w:numPr>
      </w:pPr>
      <w:r>
        <w:t>A kárt pénzben kell megtéríteni, kivéve, ha a körülmények a kár természetben való megtérítését indokolják (kijavítás, kicserélés).</w:t>
      </w:r>
    </w:p>
    <w:p w14:paraId="52D56EA7" w14:textId="77777777" w:rsidR="00301A70" w:rsidRDefault="00301A70" w:rsidP="004857FD">
      <w:pPr>
        <w:pStyle w:val="paragrafus"/>
      </w:pPr>
      <w:r>
        <w:t>12. §</w:t>
      </w:r>
    </w:p>
    <w:p w14:paraId="6102D036" w14:textId="77777777" w:rsidR="00301A70" w:rsidRDefault="00301A70" w:rsidP="008440D9">
      <w:pPr>
        <w:pStyle w:val="Cmsor1"/>
        <w:rPr>
          <w:szCs w:val="24"/>
        </w:rPr>
      </w:pPr>
      <w:bookmarkStart w:id="32" w:name="_Toc252268633"/>
      <w:bookmarkStart w:id="33" w:name="_Toc13128463"/>
      <w:r>
        <w:rPr>
          <w:szCs w:val="24"/>
        </w:rPr>
        <w:t>A kárigény érvényesítése</w:t>
      </w:r>
      <w:bookmarkEnd w:id="32"/>
      <w:bookmarkEnd w:id="33"/>
    </w:p>
    <w:p w14:paraId="43FA95C3" w14:textId="77777777" w:rsidR="00D643AD" w:rsidRDefault="00301A70" w:rsidP="00A94F65">
      <w:pPr>
        <w:numPr>
          <w:ilvl w:val="0"/>
          <w:numId w:val="22"/>
        </w:numPr>
      </w:pPr>
      <w:r>
        <w:t xml:space="preserve">A kárigény érvényesítésére – kivéve, ha a kárt elháríthatatlan ok idézte elő – a 4. §-ban leírt eljárást kell alkalmazni. A kártérítési felelősség megállapítása, a kár összegének megítélése, szükség esetén ezekhez eljárás lefolytatása </w:t>
      </w:r>
      <w:r w:rsidR="00937A12">
        <w:t>a</w:t>
      </w:r>
      <w:r w:rsidR="00D643AD">
        <w:t>zon</w:t>
      </w:r>
      <w:r w:rsidR="00064EEB">
        <w:t xml:space="preserve"> </w:t>
      </w:r>
      <w:r w:rsidR="00D643AD">
        <w:t>önállóan gazdálkodó szervezeti egység (ideértve a karokon és a GMF-en kívüli önállóan gazdálkodó szervezeti egységeket is)</w:t>
      </w:r>
      <w:r w:rsidR="00064EEB">
        <w:t xml:space="preserve"> illetékes</w:t>
      </w:r>
      <w:r w:rsidR="00937A12">
        <w:t xml:space="preserve"> elsőfokú</w:t>
      </w:r>
      <w:r>
        <w:t xml:space="preserve"> Fegyelmi Bizottság</w:t>
      </w:r>
      <w:r w:rsidR="00064EEB">
        <w:t>ának</w:t>
      </w:r>
      <w:r>
        <w:t xml:space="preserve"> feladata</w:t>
      </w:r>
      <w:r w:rsidR="00064EEB">
        <w:t xml:space="preserve">, amely által kezelt vagyonban </w:t>
      </w:r>
      <w:r w:rsidR="00D643AD">
        <w:t xml:space="preserve">a hallgatónak felróhatóan </w:t>
      </w:r>
      <w:r w:rsidR="00064EEB">
        <w:t>a csökkenés bekövetkezett</w:t>
      </w:r>
      <w:r>
        <w:t xml:space="preserve">. </w:t>
      </w:r>
      <w:r w:rsidR="00D643AD">
        <w:t>A karokon és a GMF-en kívüli önállóan gazdálkodó szervezeti egységek vagyonéban bekövetkezett kár esetén a fegyelmi bizottság összetételére, a hatáskörökre és az eljárásra a karok esetén alkalmazandó eljárás az irányadó.</w:t>
      </w:r>
    </w:p>
    <w:p w14:paraId="7F503420" w14:textId="77777777" w:rsidR="00D643AD" w:rsidRDefault="00D643AD" w:rsidP="00A94F65">
      <w:pPr>
        <w:numPr>
          <w:ilvl w:val="0"/>
          <w:numId w:val="22"/>
        </w:numPr>
      </w:pPr>
      <w:r>
        <w:t>A fegyelmi és a kártérítési eljárás egyben is lefolytatható.</w:t>
      </w:r>
    </w:p>
    <w:p w14:paraId="42ECAB1B" w14:textId="77777777" w:rsidR="00301A70" w:rsidRDefault="00301A70" w:rsidP="00A94F65">
      <w:pPr>
        <w:numPr>
          <w:ilvl w:val="0"/>
          <w:numId w:val="22"/>
        </w:numPr>
      </w:pPr>
      <w:r>
        <w:t>Nem kell a teljes kártérítési eljárást lefolytatni, ha a károkozás ténybeli és jogi megítélése egyszerű, és a károkozást a hallgató elismeri, továbbá 100.000,-Ft-ot meg nem haladó gondatlan károkozás esetén. Ebben az esetben a károkozás tényét, a kár megállapított összegét, a károkozó elismerő nyilatkozatát jegyzőkönyvbe kell foglalni.</w:t>
      </w:r>
    </w:p>
    <w:p w14:paraId="0C6D11D7" w14:textId="77777777" w:rsidR="00301A70" w:rsidRDefault="00301A70" w:rsidP="00A94F65">
      <w:pPr>
        <w:numPr>
          <w:ilvl w:val="0"/>
          <w:numId w:val="22"/>
        </w:numPr>
      </w:pPr>
      <w:r>
        <w:t>A jegyzőkönyv alapján kiállított kártérítési határozat tartalmazza a károkozó nevét, személyi adatait, a megrongált (elveszett, megsemmisült) dolog megnevezését, a kár megállapított összegét, a térítés módját, határidejét</w:t>
      </w:r>
      <w:r w:rsidR="00937A12">
        <w:t xml:space="preserve">, a kamat </w:t>
      </w:r>
      <w:r w:rsidR="00D643AD">
        <w:t xml:space="preserve">és a késedelmi kamat </w:t>
      </w:r>
      <w:r w:rsidR="00937A12">
        <w:t xml:space="preserve">mértékét </w:t>
      </w:r>
      <w:r w:rsidR="00D643AD">
        <w:t xml:space="preserve">a polgári törvénykönyv szerint </w:t>
      </w:r>
      <w:r w:rsidR="00F56AE6">
        <w:t>a késedelem idejére</w:t>
      </w:r>
      <w:r>
        <w:t>.</w:t>
      </w:r>
    </w:p>
    <w:p w14:paraId="4F520F37" w14:textId="77777777" w:rsidR="00301A70" w:rsidRDefault="00301A70" w:rsidP="00A94F65">
      <w:pPr>
        <w:numPr>
          <w:ilvl w:val="0"/>
          <w:numId w:val="22"/>
        </w:numPr>
      </w:pPr>
      <w:r>
        <w:t>A károkozó anyagi helyzetére tekintettel, kérelmére részletfizetés engedélyezhető.</w:t>
      </w:r>
    </w:p>
    <w:p w14:paraId="1A1E8DF8" w14:textId="77777777" w:rsidR="00301A70" w:rsidRDefault="00301A70" w:rsidP="00A94F65">
      <w:pPr>
        <w:numPr>
          <w:ilvl w:val="0"/>
          <w:numId w:val="22"/>
        </w:numPr>
      </w:pPr>
      <w:r>
        <w:t>A kártérítési határozat egy példányát 100.000,-Ft feletti károkozás esetén a Gazdasági és Műszaki Főigazgatóságnak kell megküldeni.</w:t>
      </w:r>
    </w:p>
    <w:p w14:paraId="21392688" w14:textId="77777777" w:rsidR="00301A70" w:rsidRDefault="00301A70" w:rsidP="00A94F65">
      <w:pPr>
        <w:numPr>
          <w:ilvl w:val="0"/>
          <w:numId w:val="22"/>
        </w:numPr>
      </w:pPr>
      <w:r>
        <w:t>A jegyzőkönyvet a kártérítési bizottság elnöke és a jegyzőkönyvvezető írja alá.</w:t>
      </w:r>
    </w:p>
    <w:p w14:paraId="2887F52B" w14:textId="77777777" w:rsidR="00301A70" w:rsidRDefault="00301A70" w:rsidP="00A94F65">
      <w:pPr>
        <w:numPr>
          <w:ilvl w:val="0"/>
          <w:numId w:val="22"/>
        </w:numPr>
      </w:pPr>
      <w:r>
        <w:t>Szándékos károkozás esetén az eljáró bizottság a fegyelmi és kártérítési eljárást egyesítve folytatja le, fegyelmi és kártérítési határozatot hoz.</w:t>
      </w:r>
    </w:p>
    <w:p w14:paraId="02D52A39" w14:textId="77777777" w:rsidR="00D643AD" w:rsidRPr="00D643AD" w:rsidRDefault="00301A70" w:rsidP="00A94F65">
      <w:pPr>
        <w:numPr>
          <w:ilvl w:val="0"/>
          <w:numId w:val="22"/>
        </w:numPr>
      </w:pPr>
      <w:r>
        <w:t xml:space="preserve">Amennyiben a kár megtérítésére kijelölt határidő eredménytelenül telt el, </w:t>
      </w:r>
      <w:r w:rsidR="00937A12">
        <w:t>és két eredménytelen</w:t>
      </w:r>
      <w:r w:rsidR="00D643AD">
        <w:t>, legalább 8 napos fizetési</w:t>
      </w:r>
      <w:r w:rsidR="00937A12">
        <w:t xml:space="preserve"> </w:t>
      </w:r>
      <w:r w:rsidR="00D643AD">
        <w:t xml:space="preserve">határidővel írásbeli </w:t>
      </w:r>
      <w:r w:rsidR="00937A12">
        <w:t xml:space="preserve">felszólítást küldött </w:t>
      </w:r>
      <w:r w:rsidR="00D643AD">
        <w:t xml:space="preserve">a károsult önállóan gazdálkodó szervezeti egység </w:t>
      </w:r>
      <w:r>
        <w:t>a kár okozója ellen - az üg</w:t>
      </w:r>
      <w:r w:rsidR="00CB0379">
        <w:t>y iratainak a BME jogtanácsosához</w:t>
      </w:r>
      <w:r>
        <w:t xml:space="preserve"> történő megküldésével - bírósági eljárást kell kezdeményezni</w:t>
      </w:r>
      <w:r w:rsidR="00937A12">
        <w:t xml:space="preserve"> </w:t>
      </w:r>
      <w:r w:rsidR="00480288">
        <w:t>100.000 Ft–</w:t>
      </w:r>
      <w:proofErr w:type="spellStart"/>
      <w:r w:rsidR="00480288">
        <w:t>ot</w:t>
      </w:r>
      <w:proofErr w:type="spellEnd"/>
      <w:r w:rsidR="00480288">
        <w:t xml:space="preserve"> meghaladó kár esetén</w:t>
      </w:r>
      <w:r w:rsidR="00937A12">
        <w:t>.</w:t>
      </w:r>
    </w:p>
    <w:p w14:paraId="46C177A4" w14:textId="77777777" w:rsidR="00D643AD" w:rsidRDefault="00D643AD" w:rsidP="00A94F65">
      <w:pPr>
        <w:numPr>
          <w:ilvl w:val="0"/>
          <w:numId w:val="22"/>
        </w:numPr>
      </w:pPr>
      <w:r>
        <w:t>A</w:t>
      </w:r>
      <w:r w:rsidRPr="00D643AD">
        <w:t xml:space="preserve"> hallgató hallgatói jogviszonyát - fizetési hátralék miatt - a rektor</w:t>
      </w:r>
      <w:r w:rsidR="00250067">
        <w:t xml:space="preserve"> nevében eljáró egyetemi vezető</w:t>
      </w:r>
      <w:r w:rsidRPr="00D643AD">
        <w:t xml:space="preserve"> a hallgató eredménytelen felszólítása és a hallgató szociális helyzetének vizsgálata után megszüntet</w:t>
      </w:r>
      <w:r>
        <w:t>het</w:t>
      </w:r>
      <w:r w:rsidRPr="00D643AD">
        <w:t>i</w:t>
      </w:r>
      <w:r>
        <w:t>. Ez azonban nem érinti, hogy a követelést a BME a hallgatóval szemben érvényesítse.</w:t>
      </w:r>
    </w:p>
    <w:p w14:paraId="0717AB7F" w14:textId="77777777" w:rsidR="000867A8" w:rsidRDefault="000867A8" w:rsidP="00A94F65">
      <w:pPr>
        <w:numPr>
          <w:ilvl w:val="0"/>
          <w:numId w:val="22"/>
        </w:numPr>
      </w:pPr>
      <w:r>
        <w:lastRenderedPageBreak/>
        <w:t xml:space="preserve">A kártérítési határozatról </w:t>
      </w:r>
      <w:r w:rsidR="00D643AD">
        <w:t>mindazokat a szervezeteket és vezetőket értesíteni kell, akik a fegyelmi eljárásban részletezettek szerint a fegyelmi határozatot megkapják.</w:t>
      </w:r>
    </w:p>
    <w:p w14:paraId="321AD43F" w14:textId="77777777" w:rsidR="00827AC1" w:rsidRDefault="00827AC1" w:rsidP="00827AC1"/>
    <w:p w14:paraId="4A4D35B3" w14:textId="77777777" w:rsidR="00827AC1" w:rsidRPr="00187B87" w:rsidRDefault="00827AC1" w:rsidP="00827AC1">
      <w:pPr>
        <w:pStyle w:val="paragrafus"/>
      </w:pPr>
      <w:r w:rsidRPr="00187B87">
        <w:t>12/</w:t>
      </w:r>
      <w:r>
        <w:t>A</w:t>
      </w:r>
      <w:r w:rsidRPr="00187B87">
        <w:t>. §</w:t>
      </w:r>
    </w:p>
    <w:p w14:paraId="0F11F271" w14:textId="77777777" w:rsidR="00827AC1" w:rsidRPr="00187B87" w:rsidRDefault="00827AC1" w:rsidP="00827AC1">
      <w:pPr>
        <w:pStyle w:val="paragrafus"/>
      </w:pPr>
      <w:r>
        <w:t>Közös kárrendezési eljárás</w:t>
      </w:r>
    </w:p>
    <w:p w14:paraId="3E8E876F" w14:textId="77777777" w:rsidR="00827AC1" w:rsidRDefault="00827AC1" w:rsidP="00827AC1">
      <w:pPr>
        <w:jc w:val="center"/>
        <w:rPr>
          <w:b/>
        </w:rPr>
      </w:pPr>
    </w:p>
    <w:p w14:paraId="7CEE7181" w14:textId="77777777" w:rsidR="006A6017" w:rsidRDefault="006A6017" w:rsidP="006A6017">
      <w:pPr>
        <w:pStyle w:val="NormlWeb"/>
        <w:numPr>
          <w:ilvl w:val="0"/>
          <w:numId w:val="27"/>
        </w:numPr>
        <w:tabs>
          <w:tab w:val="clear" w:pos="708"/>
          <w:tab w:val="num" w:pos="360"/>
        </w:tabs>
        <w:spacing w:before="0" w:beforeAutospacing="0" w:after="0" w:afterAutospacing="0"/>
        <w:ind w:left="360" w:hanging="360"/>
        <w:jc w:val="both"/>
      </w:pPr>
      <w:r>
        <w:t>Laborkárnak minősül a félév</w:t>
      </w:r>
      <w:r w:rsidRPr="00746653">
        <w:t xml:space="preserve"> során </w:t>
      </w:r>
      <w:r>
        <w:t xml:space="preserve">az adott </w:t>
      </w:r>
      <w:r w:rsidRPr="00746653">
        <w:t>laboratóriumi gyakorlat</w:t>
      </w:r>
      <w:r>
        <w:t xml:space="preserve"> alkalmával</w:t>
      </w:r>
      <w:r w:rsidRPr="007B705D">
        <w:t xml:space="preserve"> </w:t>
      </w:r>
      <w:r>
        <w:t xml:space="preserve">használt </w:t>
      </w:r>
      <w:r w:rsidRPr="00746653">
        <w:t xml:space="preserve">laboreszközökben </w:t>
      </w:r>
      <w:r w:rsidRPr="00AC062F">
        <w:t>a hallgatók által</w:t>
      </w:r>
      <w:r>
        <w:t xml:space="preserve"> szándékosan vagy gondatlanul </w:t>
      </w:r>
      <w:r w:rsidRPr="00AC062F">
        <w:t>okozott</w:t>
      </w:r>
      <w:r w:rsidRPr="00746653">
        <w:t xml:space="preserve"> </w:t>
      </w:r>
      <w:r>
        <w:t>kár. Nem minősül laborkárnak a laboreszközökben a természetes elhasználódás következtében keletkező hiba. A laborkár-rendezési eljárásba tartozó laboreszközök tételes listáját a dékán által kijelölt oktató a kari hallgatói képviselet egyetértésével állapítja meg, amelyet minden félév kezdetekor közzé kell tenni.</w:t>
      </w:r>
    </w:p>
    <w:p w14:paraId="62856D4E" w14:textId="77777777" w:rsidR="006A6017" w:rsidRDefault="006A6017" w:rsidP="006A6017">
      <w:pPr>
        <w:pStyle w:val="NormlWeb"/>
        <w:numPr>
          <w:ilvl w:val="0"/>
          <w:numId w:val="27"/>
        </w:numPr>
        <w:tabs>
          <w:tab w:val="clear" w:pos="708"/>
          <w:tab w:val="num" w:pos="360"/>
        </w:tabs>
        <w:spacing w:before="0" w:beforeAutospacing="0" w:after="0" w:afterAutospacing="0"/>
        <w:ind w:left="360" w:hanging="360"/>
        <w:jc w:val="both"/>
      </w:pPr>
      <w:r>
        <w:t xml:space="preserve">Közös kárrendezési eljárás az egyes laboratóriumi gyakorlatokon a dékán döntése esetén alkalmazható. </w:t>
      </w:r>
    </w:p>
    <w:p w14:paraId="33BF2486" w14:textId="77777777" w:rsidR="006A6017" w:rsidRPr="00A0189F" w:rsidRDefault="006A6017" w:rsidP="006A6017">
      <w:pPr>
        <w:pStyle w:val="NormlWeb"/>
        <w:numPr>
          <w:ilvl w:val="0"/>
          <w:numId w:val="27"/>
        </w:numPr>
        <w:tabs>
          <w:tab w:val="clear" w:pos="708"/>
          <w:tab w:val="num" w:pos="360"/>
        </w:tabs>
        <w:spacing w:before="0" w:beforeAutospacing="0" w:after="0" w:afterAutospacing="0"/>
        <w:ind w:left="360" w:hanging="360"/>
        <w:jc w:val="both"/>
      </w:pPr>
      <w:r>
        <w:t xml:space="preserve">Közös kárrendezési eljárás alkalmazása esetén a laborkár megtérítése érdekében </w:t>
      </w:r>
      <w:r w:rsidRPr="00746653">
        <w:t xml:space="preserve">a hallgatók </w:t>
      </w:r>
      <w:r w:rsidRPr="006C442F">
        <w:t xml:space="preserve">az első laboratóriumi gyakorlaton </w:t>
      </w:r>
      <w:r>
        <w:t xml:space="preserve">a megfelelő írásbeli tájékoztatás mellett, </w:t>
      </w:r>
      <w:r w:rsidRPr="006C442F">
        <w:t>írás</w:t>
      </w:r>
      <w:r w:rsidRPr="00746653">
        <w:t>ban választhatnak</w:t>
      </w:r>
      <w:r w:rsidRPr="00A031BF">
        <w:rPr>
          <w:lang w:val="da-DK"/>
        </w:rPr>
        <w:t xml:space="preserve"> </w:t>
      </w:r>
      <w:r>
        <w:rPr>
          <w:lang w:val="da-DK"/>
        </w:rPr>
        <w:t>az egyéni felelősségvállalással járó laborkár-</w:t>
      </w:r>
      <w:r w:rsidRPr="00746653">
        <w:rPr>
          <w:lang w:val="da-DK"/>
        </w:rPr>
        <w:t>rendezési eljárás, valamint</w:t>
      </w:r>
      <w:r w:rsidRPr="00A031BF">
        <w:t xml:space="preserve"> </w:t>
      </w:r>
      <w:r>
        <w:t xml:space="preserve">az adott laboratóriumot használó hallgatók </w:t>
      </w:r>
      <w:r w:rsidRPr="00746653">
        <w:rPr>
          <w:lang w:val="da-DK"/>
        </w:rPr>
        <w:t>közös kárrendezési eljárása</w:t>
      </w:r>
      <w:r w:rsidRPr="00A031BF">
        <w:rPr>
          <w:lang w:val="da-DK"/>
        </w:rPr>
        <w:t xml:space="preserve"> </w:t>
      </w:r>
      <w:r w:rsidRPr="00746653">
        <w:rPr>
          <w:lang w:val="da-DK"/>
        </w:rPr>
        <w:t>között</w:t>
      </w:r>
      <w:r>
        <w:rPr>
          <w:lang w:val="da-DK"/>
        </w:rPr>
        <w:t>.</w:t>
      </w:r>
    </w:p>
    <w:p w14:paraId="46E904B1" w14:textId="77777777" w:rsidR="006A6017" w:rsidRPr="00537A61" w:rsidRDefault="006A6017" w:rsidP="006A6017">
      <w:pPr>
        <w:pStyle w:val="NormlWeb"/>
        <w:numPr>
          <w:ilvl w:val="0"/>
          <w:numId w:val="27"/>
        </w:numPr>
        <w:tabs>
          <w:tab w:val="clear" w:pos="708"/>
          <w:tab w:val="num" w:pos="360"/>
        </w:tabs>
        <w:spacing w:before="0" w:beforeAutospacing="0" w:after="0" w:afterAutospacing="0"/>
        <w:ind w:left="360" w:hanging="360"/>
        <w:jc w:val="both"/>
      </w:pPr>
      <w:r>
        <w:rPr>
          <w:lang w:val="da-DK"/>
        </w:rPr>
        <w:t xml:space="preserve">Egyéni felelősségvállalással járó laborkár-rendezési eljárást választó </w:t>
      </w:r>
      <w:r w:rsidRPr="00FF5D53">
        <w:rPr>
          <w:lang w:val="da-DK"/>
        </w:rPr>
        <w:t>hallgatók az általuk okozott károkért önállóan,</w:t>
      </w:r>
      <w:r>
        <w:rPr>
          <w:lang w:val="da-DK"/>
        </w:rPr>
        <w:t xml:space="preserve"> </w:t>
      </w:r>
      <w:r w:rsidRPr="00FF5D53">
        <w:rPr>
          <w:lang w:val="da-DK"/>
        </w:rPr>
        <w:t>káreseményenként</w:t>
      </w:r>
      <w:r>
        <w:rPr>
          <w:lang w:val="da-DK"/>
        </w:rPr>
        <w:t xml:space="preserve">, egyéni kármegállapítással </w:t>
      </w:r>
      <w:r w:rsidRPr="00FF5D53">
        <w:rPr>
          <w:lang w:val="da-DK"/>
        </w:rPr>
        <w:t>felelnek</w:t>
      </w:r>
      <w:r>
        <w:rPr>
          <w:lang w:val="da-DK"/>
        </w:rPr>
        <w:t xml:space="preserve"> az </w:t>
      </w:r>
      <w:r w:rsidR="00B96DF5">
        <w:rPr>
          <w:lang w:val="da-DK"/>
        </w:rPr>
        <w:t>Nf</w:t>
      </w:r>
      <w:r>
        <w:rPr>
          <w:lang w:val="da-DK"/>
        </w:rPr>
        <w:t>tv</w:t>
      </w:r>
      <w:r w:rsidRPr="00FF5D53">
        <w:rPr>
          <w:lang w:val="da-DK"/>
        </w:rPr>
        <w:t>.</w:t>
      </w:r>
      <w:r>
        <w:rPr>
          <w:lang w:val="da-DK"/>
        </w:rPr>
        <w:t>, valamint jelen szabályzat 10. §-a szerint.</w:t>
      </w:r>
    </w:p>
    <w:p w14:paraId="7465D63C" w14:textId="77777777" w:rsidR="006A6017" w:rsidRPr="00153E77" w:rsidRDefault="006A6017" w:rsidP="006A6017">
      <w:pPr>
        <w:pStyle w:val="NormlWeb"/>
        <w:numPr>
          <w:ilvl w:val="0"/>
          <w:numId w:val="27"/>
        </w:numPr>
        <w:tabs>
          <w:tab w:val="clear" w:pos="708"/>
          <w:tab w:val="num" w:pos="360"/>
        </w:tabs>
        <w:spacing w:before="0" w:beforeAutospacing="0" w:after="0" w:afterAutospacing="0"/>
        <w:ind w:left="360" w:hanging="360"/>
        <w:jc w:val="both"/>
      </w:pPr>
      <w:r>
        <w:rPr>
          <w:lang w:val="da-DK"/>
        </w:rPr>
        <w:t xml:space="preserve">A (4) bekezdés szerinti laborkár-rendezési eljárást választó </w:t>
      </w:r>
      <w:r w:rsidRPr="00FF5D53">
        <w:t>hallgatók</w:t>
      </w:r>
      <w:r>
        <w:t xml:space="preserve"> részére a leltárba foglalt laboreszközök jegyzékkel, visszaszolgáltatási kötelezettséggel történő tételes átadására, valamint visszavételére </w:t>
      </w:r>
      <w:r w:rsidRPr="00FF5D53">
        <w:t xml:space="preserve">minden </w:t>
      </w:r>
      <w:r>
        <w:t>egyes laborgyakorlat alkalmával sor kerül. A laboreszközök átadása valamint visszavétele érdekében előírható, hogy az érintett hallgatóknak a laborgyakorlat kezdetét megelőzően meghatározott idővel kell megjelennie a laborgyakorlat helyszínén, valamint a laborgyakorlat befejezését követően az eszközök visszavétele érdekében a laborgyakorlat helyszínén kell maradnia a visszavétel idejére. Az átadási, illetve visszavételi eljárásra irányadó speciális szabályokat a dékán által kijelölt oktató, a kari hallgatói képviselet egyetértésével állapítja meg azon laboreszközök esetében, amelyek esetleges hibája rátekintéssel nem ismerhető fel.</w:t>
      </w:r>
    </w:p>
    <w:p w14:paraId="01D8B722" w14:textId="77777777" w:rsidR="006A6017" w:rsidRDefault="006A6017" w:rsidP="006A6017">
      <w:pPr>
        <w:pStyle w:val="NormlWeb"/>
        <w:numPr>
          <w:ilvl w:val="0"/>
          <w:numId w:val="27"/>
        </w:numPr>
        <w:tabs>
          <w:tab w:val="clear" w:pos="708"/>
          <w:tab w:val="num" w:pos="360"/>
        </w:tabs>
        <w:spacing w:before="0" w:beforeAutospacing="0" w:after="0" w:afterAutospacing="0"/>
        <w:ind w:left="360" w:hanging="360"/>
        <w:jc w:val="both"/>
      </w:pPr>
      <w:r>
        <w:t xml:space="preserve">Közös laborkár-rendezési eljárást választó hallgatók </w:t>
      </w:r>
      <w:r w:rsidRPr="00FF5D53">
        <w:t>a félév során</w:t>
      </w:r>
      <w:r>
        <w:t>, az</w:t>
      </w:r>
      <w:r w:rsidRPr="00946868">
        <w:t xml:space="preserve"> </w:t>
      </w:r>
      <w:r>
        <w:t>egyéni laborkár-rendezéssel nem érintett,</w:t>
      </w:r>
      <w:r w:rsidRPr="00946868">
        <w:t xml:space="preserve"> </w:t>
      </w:r>
      <w:r>
        <w:t>általuk közösen használt laboreszközökben keletkező</w:t>
      </w:r>
      <w:r w:rsidRPr="00FF5D53">
        <w:t xml:space="preserve"> laborkár megtérítésére közösséget vállalnak</w:t>
      </w:r>
      <w:r>
        <w:t>, e laborkár közöttük egyenlően kerül elosztásra</w:t>
      </w:r>
      <w:r w:rsidRPr="00FF5D53">
        <w:t>.</w:t>
      </w:r>
      <w:r>
        <w:t xml:space="preserve"> A dékán által kijelölt oktató a kari hallgatói képviselet egyetértésével a félév kezdetén állapítja meg és teszi közzé a laborkár adott félévben, a közös laborkár-rendezési eljárásban részt vevő egy hallgatóra kiróható legmagasabb összegét.</w:t>
      </w:r>
    </w:p>
    <w:p w14:paraId="71F6463A" w14:textId="77777777" w:rsidR="006A6017" w:rsidRPr="00AC062F" w:rsidRDefault="006A6017" w:rsidP="006A6017">
      <w:pPr>
        <w:pStyle w:val="NormlWeb"/>
        <w:numPr>
          <w:ilvl w:val="0"/>
          <w:numId w:val="27"/>
        </w:numPr>
        <w:tabs>
          <w:tab w:val="clear" w:pos="708"/>
          <w:tab w:val="num" w:pos="360"/>
        </w:tabs>
        <w:spacing w:before="0" w:beforeAutospacing="0" w:after="0" w:afterAutospacing="0"/>
        <w:ind w:left="360" w:hanging="360"/>
        <w:jc w:val="both"/>
      </w:pPr>
      <w:r w:rsidRPr="00FF5D53">
        <w:t>A</w:t>
      </w:r>
      <w:r>
        <w:t xml:space="preserve"> (6) bekezdés szerinti </w:t>
      </w:r>
      <w:r>
        <w:rPr>
          <w:lang w:val="da-DK"/>
        </w:rPr>
        <w:t xml:space="preserve">laborkár-rendezési </w:t>
      </w:r>
      <w:r>
        <w:t xml:space="preserve">eljárást választó, az adott laboratóriumot használó hallgatók </w:t>
      </w:r>
      <w:r w:rsidRPr="00FF5D53">
        <w:t xml:space="preserve">részére </w:t>
      </w:r>
      <w:r>
        <w:t xml:space="preserve">a leltárba foglalt laboreszközök tételes átadására </w:t>
      </w:r>
      <w:r w:rsidRPr="00FF5D53">
        <w:t>a félév kezdetekor</w:t>
      </w:r>
      <w:r>
        <w:t xml:space="preserve">, azok visszavételére a félév végén kerül sor, amelyről készült </w:t>
      </w:r>
      <w:r w:rsidRPr="00AC062F">
        <w:t>jegyzőkönyvet a dékán által kijelölt oktató</w:t>
      </w:r>
      <w:r>
        <w:t>,</w:t>
      </w:r>
      <w:r w:rsidRPr="00AC062F">
        <w:t xml:space="preserve"> valamint a kari hallgatói képviselet elnöke, vagy az általa megbízott hallgató, is aláírásával ellát.</w:t>
      </w:r>
      <w:r>
        <w:t xml:space="preserve"> </w:t>
      </w:r>
    </w:p>
    <w:p w14:paraId="0FF105BA" w14:textId="77777777" w:rsidR="006A6017" w:rsidRPr="00AC062F" w:rsidRDefault="006A6017" w:rsidP="006A6017">
      <w:pPr>
        <w:pStyle w:val="NormlWeb"/>
        <w:numPr>
          <w:ilvl w:val="0"/>
          <w:numId w:val="27"/>
        </w:numPr>
        <w:tabs>
          <w:tab w:val="clear" w:pos="708"/>
          <w:tab w:val="num" w:pos="360"/>
        </w:tabs>
        <w:spacing w:before="0" w:beforeAutospacing="0" w:after="0" w:afterAutospacing="0"/>
        <w:ind w:left="360" w:hanging="360"/>
        <w:jc w:val="both"/>
      </w:pPr>
      <w:r w:rsidRPr="00AC062F">
        <w:t>A (</w:t>
      </w:r>
      <w:r>
        <w:t>6</w:t>
      </w:r>
      <w:r w:rsidRPr="00AC062F">
        <w:t xml:space="preserve">) bekezdés szerinti </w:t>
      </w:r>
      <w:r w:rsidRPr="00AC062F">
        <w:rPr>
          <w:lang w:val="da-DK"/>
        </w:rPr>
        <w:t xml:space="preserve">laborkár-rendezési </w:t>
      </w:r>
      <w:r w:rsidRPr="00AC062F">
        <w:t xml:space="preserve">eljárás esetén a félév során bekövetkezett laborkár megállapítása a kari hallgatói képviselet </w:t>
      </w:r>
      <w:r>
        <w:t xml:space="preserve">egyetértésével </w:t>
      </w:r>
      <w:r w:rsidRPr="00AC062F">
        <w:t>történik a (</w:t>
      </w:r>
      <w:r>
        <w:t>6</w:t>
      </w:r>
      <w:r w:rsidRPr="00AC062F">
        <w:t xml:space="preserve">) bekezdés szerinti átadási és visszavételi lista különbsége, valamint a laboreszközökben keletkezett esetleges károk </w:t>
      </w:r>
      <w:proofErr w:type="gramStart"/>
      <w:r w:rsidRPr="00AC062F">
        <w:t>javítási</w:t>
      </w:r>
      <w:proofErr w:type="gramEnd"/>
      <w:r w:rsidRPr="00AC062F">
        <w:t xml:space="preserve"> illetve pótlási költsége alapján.</w:t>
      </w:r>
    </w:p>
    <w:p w14:paraId="2C757548" w14:textId="77777777" w:rsidR="006A6017" w:rsidRPr="00AC062F" w:rsidRDefault="006A6017" w:rsidP="006A6017">
      <w:pPr>
        <w:pStyle w:val="NormlWeb"/>
        <w:numPr>
          <w:ilvl w:val="0"/>
          <w:numId w:val="27"/>
        </w:numPr>
        <w:tabs>
          <w:tab w:val="clear" w:pos="708"/>
          <w:tab w:val="num" w:pos="360"/>
        </w:tabs>
        <w:spacing w:before="0" w:beforeAutospacing="0" w:after="0" w:afterAutospacing="0"/>
        <w:ind w:left="360" w:hanging="360"/>
        <w:jc w:val="both"/>
        <w:rPr>
          <w:sz w:val="22"/>
          <w:szCs w:val="22"/>
        </w:rPr>
      </w:pPr>
      <w:r w:rsidRPr="00AC062F">
        <w:t>A (</w:t>
      </w:r>
      <w:r>
        <w:t>6</w:t>
      </w:r>
      <w:r w:rsidRPr="00AC062F">
        <w:t xml:space="preserve">) bekezdés szerinti </w:t>
      </w:r>
      <w:r w:rsidRPr="00AC062F">
        <w:rPr>
          <w:lang w:val="da-DK"/>
        </w:rPr>
        <w:t xml:space="preserve">laborkár-rendezési </w:t>
      </w:r>
      <w:r w:rsidRPr="00AC062F">
        <w:t xml:space="preserve">eljárás esetén a laborkár összegének, valamint a laborkár hallgatói közösséget vállaló egy hallgatóra eső értékének kiszámítására a kari </w:t>
      </w:r>
      <w:r w:rsidRPr="00AC062F">
        <w:lastRenderedPageBreak/>
        <w:t xml:space="preserve">hallgatói képviselet </w:t>
      </w:r>
      <w:r>
        <w:t xml:space="preserve">egyetértésével </w:t>
      </w:r>
      <w:r w:rsidRPr="00AC062F">
        <w:t>kerül sor legkésőbb a pótlási időszak végéig. Az így megállapított kárösszegbe nem kerülnek bele azok az eszközök, amelyeket az egyéni kárfelelősségi eljárást választó hallgatók egyénileg kötelesek megtéríteni.</w:t>
      </w:r>
    </w:p>
    <w:p w14:paraId="3121144A" w14:textId="77777777" w:rsidR="006A6017" w:rsidRDefault="006A6017" w:rsidP="006A6017">
      <w:pPr>
        <w:pStyle w:val="NormlWeb"/>
        <w:numPr>
          <w:ilvl w:val="0"/>
          <w:numId w:val="27"/>
        </w:numPr>
        <w:tabs>
          <w:tab w:val="clear" w:pos="708"/>
          <w:tab w:val="num" w:pos="360"/>
        </w:tabs>
        <w:spacing w:before="0" w:beforeAutospacing="0" w:after="0" w:afterAutospacing="0"/>
        <w:ind w:left="360" w:hanging="360"/>
        <w:jc w:val="both"/>
      </w:pPr>
      <w:r w:rsidRPr="00AC062F">
        <w:t xml:space="preserve">A laborkár összegét a KTH legkésőbb a </w:t>
      </w:r>
      <w:r>
        <w:t>szorgalmi időszak utolsó napját követő 10. munkanapig</w:t>
      </w:r>
      <w:r w:rsidRPr="00AC062F">
        <w:t xml:space="preserve"> ki</w:t>
      </w:r>
      <w:r>
        <w:t>írja</w:t>
      </w:r>
      <w:r w:rsidRPr="00AC062F">
        <w:t xml:space="preserve"> a </w:t>
      </w:r>
      <w:proofErr w:type="spellStart"/>
      <w:r w:rsidRPr="00AC062F">
        <w:t>Neptun</w:t>
      </w:r>
      <w:proofErr w:type="spellEnd"/>
      <w:r w:rsidRPr="00AC062F">
        <w:t xml:space="preserve"> rendszeren keresztül. A laborkár befizetésének határideje</w:t>
      </w:r>
      <w:r>
        <w:t>, ha a dékán ettől eltérően írásban máshogy nem rendelkezik,</w:t>
      </w:r>
      <w:r w:rsidRPr="00AC062F">
        <w:t xml:space="preserve"> a kiírását követő 3</w:t>
      </w:r>
      <w:r>
        <w:t>1</w:t>
      </w:r>
      <w:r w:rsidRPr="00AC062F">
        <w:t xml:space="preserve"> nap. </w:t>
      </w:r>
      <w:r>
        <w:t xml:space="preserve">Hibásan kiírt tételre fellebbezni a kiírást követő 15. munkanapig lehetséges. </w:t>
      </w:r>
      <w:r w:rsidRPr="00AC062F">
        <w:t>A laborkár befizetésére a BME-vel szemben fennálló tartozásokra vonatkozó általános szabályozást kell alkalmazni.</w:t>
      </w:r>
    </w:p>
    <w:p w14:paraId="5D141926" w14:textId="77777777" w:rsidR="00301A70" w:rsidRDefault="00301A70" w:rsidP="004857FD">
      <w:pPr>
        <w:pStyle w:val="paragrafus"/>
      </w:pPr>
      <w:r>
        <w:t>13. §</w:t>
      </w:r>
    </w:p>
    <w:p w14:paraId="67159E78" w14:textId="77777777" w:rsidR="00301A70" w:rsidRDefault="00301A70" w:rsidP="008440D9">
      <w:pPr>
        <w:pStyle w:val="Cmsor1"/>
        <w:rPr>
          <w:szCs w:val="24"/>
        </w:rPr>
      </w:pPr>
      <w:bookmarkStart w:id="34" w:name="_Toc252268634"/>
      <w:bookmarkStart w:id="35" w:name="_Toc13128464"/>
      <w:r>
        <w:rPr>
          <w:szCs w:val="24"/>
        </w:rPr>
        <w:t>Elévülés</w:t>
      </w:r>
      <w:bookmarkEnd w:id="34"/>
      <w:bookmarkEnd w:id="35"/>
    </w:p>
    <w:p w14:paraId="436D4F5D" w14:textId="77777777" w:rsidR="00301A70" w:rsidRDefault="00301A70" w:rsidP="00A94F65">
      <w:pPr>
        <w:numPr>
          <w:ilvl w:val="0"/>
          <w:numId w:val="23"/>
        </w:numPr>
      </w:pPr>
      <w:r>
        <w:t>A kártérítéssel kapcsolatos igény öt év alatt évül el. A bűncselekménnyel okozott kárért fennálló felelősség is öt év, ha a büntethetőség elévülési ideje ennél hosszabb, ennek megfelelő idő alatt évül el.</w:t>
      </w:r>
    </w:p>
    <w:p w14:paraId="538A8098" w14:textId="77777777" w:rsidR="00301A70" w:rsidRDefault="00301A70" w:rsidP="004036CD">
      <w:pPr>
        <w:pStyle w:val="paragrafus"/>
      </w:pPr>
      <w:r>
        <w:t>14. §</w:t>
      </w:r>
    </w:p>
    <w:p w14:paraId="037430F2" w14:textId="77777777" w:rsidR="00A94F65" w:rsidRDefault="00301A70" w:rsidP="00A94F65">
      <w:pPr>
        <w:pStyle w:val="Cmsor1"/>
        <w:rPr>
          <w:szCs w:val="24"/>
        </w:rPr>
      </w:pPr>
      <w:bookmarkStart w:id="36" w:name="_Toc252268635"/>
      <w:bookmarkStart w:id="37" w:name="_Toc13128465"/>
      <w:r>
        <w:rPr>
          <w:szCs w:val="24"/>
        </w:rPr>
        <w:t>A hallgatónak okozott kár megtérítése</w:t>
      </w:r>
      <w:bookmarkEnd w:id="36"/>
      <w:bookmarkEnd w:id="37"/>
    </w:p>
    <w:p w14:paraId="1B8672B5" w14:textId="77777777" w:rsidR="00301A70" w:rsidRPr="00A94F65" w:rsidRDefault="00301A70" w:rsidP="000A66C5">
      <w:pPr>
        <w:numPr>
          <w:ilvl w:val="0"/>
          <w:numId w:val="24"/>
        </w:numPr>
        <w:rPr>
          <w:szCs w:val="24"/>
        </w:rPr>
      </w:pPr>
      <w:r>
        <w:t>A BME, a kollégium, a gyakorlati képzés szervezője a hallgatónak a hallgatói jogviszonnyal, kollégiumi felvételi jogviszonnyal, gyakorlati képzéssel összefüggésben okozott kárért vétkességére tekintet nélkül, teljes mértékben felel. A kártérítésre a Ptk. rendelkezéseit kell alkalmazni, azzal a kiegészítéssel, hogy a BME, a kollégium, illetve a gyakorlati képzés szervezője a felelőssége alól csak akkor mentesül, ha bizonyítja, hogy a kárt a működési körén kívül eső elháríthatatlan ok idézte elő. Nem kell megtéríteni a kárt, ha azt a károsult elháríthatatlan magatartása okozta. /</w:t>
      </w:r>
      <w:r w:rsidR="00B96DF5" w:rsidRPr="00AE4548">
        <w:rPr>
          <w:b/>
          <w:i/>
          <w:u w:val="single"/>
        </w:rPr>
        <w:t>Nf</w:t>
      </w:r>
      <w:r>
        <w:t xml:space="preserve">tv. </w:t>
      </w:r>
      <w:r w:rsidR="00B96DF5" w:rsidRPr="00AE4548">
        <w:rPr>
          <w:b/>
          <w:i/>
          <w:u w:val="single"/>
        </w:rPr>
        <w:t>56</w:t>
      </w:r>
      <w:r>
        <w:t>. § (4)/</w:t>
      </w:r>
      <w:r w:rsidR="00AE4548">
        <w:rPr>
          <w:rStyle w:val="Lbjegyzet-hivatkozs"/>
        </w:rPr>
        <w:footnoteReference w:id="37"/>
      </w:r>
    </w:p>
    <w:p w14:paraId="0FEB457A" w14:textId="77777777" w:rsidR="00AE4548" w:rsidRDefault="00AE4548" w:rsidP="00E64A56">
      <w:pPr>
        <w:pStyle w:val="paragrafus"/>
      </w:pPr>
    </w:p>
    <w:p w14:paraId="4FD503E1" w14:textId="77777777" w:rsidR="00AE4548" w:rsidRDefault="00AE4548" w:rsidP="00E64A56">
      <w:pPr>
        <w:pStyle w:val="paragrafus"/>
      </w:pPr>
    </w:p>
    <w:p w14:paraId="3A02AF2C" w14:textId="77777777" w:rsidR="00AE4548" w:rsidRDefault="00AE4548" w:rsidP="00E64A56">
      <w:pPr>
        <w:pStyle w:val="paragrafus"/>
      </w:pPr>
    </w:p>
    <w:p w14:paraId="1406FC0F" w14:textId="77777777" w:rsidR="00301A70" w:rsidRDefault="00301A70" w:rsidP="00E64A56">
      <w:pPr>
        <w:pStyle w:val="paragrafus"/>
      </w:pPr>
      <w:r>
        <w:t>15. §</w:t>
      </w:r>
      <w:r w:rsidR="00F556CB">
        <w:rPr>
          <w:rStyle w:val="Lbjegyzet-hivatkozs"/>
        </w:rPr>
        <w:footnoteReference w:id="38"/>
      </w:r>
    </w:p>
    <w:p w14:paraId="6B009374" w14:textId="77777777" w:rsidR="00301A70" w:rsidRPr="00C1769E" w:rsidRDefault="00301A70" w:rsidP="008440D9">
      <w:pPr>
        <w:pStyle w:val="Cmsor1"/>
        <w:rPr>
          <w:szCs w:val="24"/>
        </w:rPr>
      </w:pPr>
      <w:bookmarkStart w:id="38" w:name="_Toc252268636"/>
      <w:bookmarkStart w:id="39" w:name="_Toc13128466"/>
      <w:r>
        <w:rPr>
          <w:szCs w:val="24"/>
        </w:rPr>
        <w:t>A jogorvoslat joga</w:t>
      </w:r>
      <w:bookmarkEnd w:id="38"/>
      <w:bookmarkEnd w:id="39"/>
    </w:p>
    <w:p w14:paraId="1025B856" w14:textId="77777777" w:rsidR="00AE4548" w:rsidRDefault="00AE4548" w:rsidP="00E64A56">
      <w:pPr>
        <w:pStyle w:val="paragrafus"/>
      </w:pPr>
    </w:p>
    <w:p w14:paraId="121D8400" w14:textId="77777777" w:rsidR="00301A70" w:rsidRDefault="00301A70" w:rsidP="00E64A56">
      <w:pPr>
        <w:pStyle w:val="paragrafus"/>
      </w:pPr>
      <w:r>
        <w:t>16. §</w:t>
      </w:r>
    </w:p>
    <w:p w14:paraId="115DB5CA" w14:textId="77777777" w:rsidR="00301A70" w:rsidRPr="00C1769E" w:rsidRDefault="00301A70" w:rsidP="008440D9">
      <w:pPr>
        <w:pStyle w:val="Cmsor1"/>
        <w:rPr>
          <w:szCs w:val="24"/>
        </w:rPr>
      </w:pPr>
      <w:bookmarkStart w:id="40" w:name="_Toc252268637"/>
      <w:bookmarkStart w:id="41" w:name="_Toc13128467"/>
      <w:r>
        <w:rPr>
          <w:szCs w:val="24"/>
        </w:rPr>
        <w:t>Záró rendelkezések</w:t>
      </w:r>
      <w:bookmarkEnd w:id="40"/>
      <w:bookmarkEnd w:id="41"/>
    </w:p>
    <w:p w14:paraId="5313CC4A" w14:textId="77777777" w:rsidR="00301A70" w:rsidRDefault="00301A70" w:rsidP="00EA64CC">
      <w:pPr>
        <w:numPr>
          <w:ilvl w:val="0"/>
          <w:numId w:val="26"/>
        </w:numPr>
      </w:pPr>
      <w:r>
        <w:t>A 3. § (1) d) és e) pontjaiban meghatározott fegyelmi büntetések tekintetében hozott jogerős határozatok a bíróság előtt megtámadhatók.</w:t>
      </w:r>
    </w:p>
    <w:p w14:paraId="39911EC8" w14:textId="77777777" w:rsidR="00301A70" w:rsidRDefault="00301A70" w:rsidP="00EA64CC">
      <w:pPr>
        <w:numPr>
          <w:ilvl w:val="0"/>
          <w:numId w:val="26"/>
        </w:numPr>
      </w:pPr>
      <w:r>
        <w:t>A BME Hallgatók Fegyelmi</w:t>
      </w:r>
      <w:r w:rsidR="00CB0379">
        <w:t xml:space="preserve"> és Kártérítési Szabályzata </w:t>
      </w:r>
      <w:r w:rsidR="001F5E53">
        <w:t>2010. január 26-án</w:t>
      </w:r>
      <w:r>
        <w:t xml:space="preserve"> lép hatályba, rendelkezéseit a folyamatban lévő ügyekre is alkalmazni kell.</w:t>
      </w:r>
    </w:p>
    <w:p w14:paraId="0F56A7B7" w14:textId="77777777" w:rsidR="00301A70" w:rsidRDefault="00301A70" w:rsidP="00EA64CC">
      <w:pPr>
        <w:numPr>
          <w:ilvl w:val="0"/>
          <w:numId w:val="26"/>
        </w:numPr>
      </w:pPr>
      <w:r>
        <w:t xml:space="preserve">A BME Hallgatók Fegyelmi és Kártérítési Szabályzatának hatálybalépésével egyidejűleg hatályát veszti az 1995 </w:t>
      </w:r>
      <w:r w:rsidR="00FB36C2" w:rsidRPr="00F731E2">
        <w:t>év</w:t>
      </w:r>
      <w:r>
        <w:t xml:space="preserve">i BME Hallgatói Fegyelmi Szabályzat és Hallgatói Kártérítési </w:t>
      </w:r>
      <w:r>
        <w:lastRenderedPageBreak/>
        <w:t>Szabályzat, valamint hatályukat vesztik a kollégiumok szervezeti és működési szabályzatában foglalt fegyelmi eljárásokról, büntetésekről szóló rendelkezések, továbbá azon egyetemi (kari) szabályzatok, egyetemi (kari) tanácsi határozatok rendelkezései, amelyek a szabályzattal ellentétesek.</w:t>
      </w:r>
    </w:p>
    <w:p w14:paraId="0A6CCEC8" w14:textId="77777777" w:rsidR="00301A70" w:rsidRDefault="00301A70" w:rsidP="00EA64CC">
      <w:pPr>
        <w:numPr>
          <w:ilvl w:val="0"/>
          <w:numId w:val="26"/>
        </w:numPr>
      </w:pPr>
      <w:r>
        <w:t>Az anyagi felelősség egyéb kérdéseiben a Polgári Törvénykönyvnek a kártérítésre vonatkozó szabályait kell alkalmazni /</w:t>
      </w:r>
      <w:r w:rsidR="00F01398" w:rsidRPr="00AE4548">
        <w:rPr>
          <w:b/>
          <w:i/>
          <w:u w:val="single"/>
        </w:rPr>
        <w:t>Nf</w:t>
      </w:r>
      <w:r>
        <w:t xml:space="preserve">tv. </w:t>
      </w:r>
      <w:r w:rsidR="00F01398" w:rsidRPr="00AE4548">
        <w:rPr>
          <w:b/>
          <w:i/>
          <w:u w:val="single"/>
        </w:rPr>
        <w:t>5</w:t>
      </w:r>
      <w:r>
        <w:t>6.§ (1)/.</w:t>
      </w:r>
      <w:r w:rsidR="00AE4548">
        <w:rPr>
          <w:rStyle w:val="Lbjegyzet-hivatkozs"/>
        </w:rPr>
        <w:footnoteReference w:id="39"/>
      </w:r>
    </w:p>
    <w:p w14:paraId="0B458415" w14:textId="77777777" w:rsidR="00301A70" w:rsidRDefault="00301A70" w:rsidP="00EA64CC">
      <w:pPr>
        <w:numPr>
          <w:ilvl w:val="0"/>
          <w:numId w:val="26"/>
        </w:numPr>
      </w:pPr>
      <w:r>
        <w:t>A jogerős kártérítési határozatok bíróság előtt megtámadhatók, de ennek nincs halasztó hatálya.</w:t>
      </w:r>
    </w:p>
    <w:p w14:paraId="04E8E0AA" w14:textId="77777777" w:rsidR="00780E5E" w:rsidRDefault="00780E5E" w:rsidP="00EA64CC">
      <w:pPr>
        <w:numPr>
          <w:ilvl w:val="0"/>
          <w:numId w:val="26"/>
        </w:numPr>
      </w:pPr>
      <w:r>
        <w:t>Az e szabályzat szerinti eljárások során az erre vonatkozó rektori utasításban megadott iratmintákat kell használni.</w:t>
      </w:r>
    </w:p>
    <w:p w14:paraId="74FF94B9" w14:textId="77777777" w:rsidR="00F14A2A" w:rsidRPr="00AE4548" w:rsidRDefault="00F14A2A" w:rsidP="00EA64CC">
      <w:pPr>
        <w:numPr>
          <w:ilvl w:val="0"/>
          <w:numId w:val="26"/>
        </w:numPr>
        <w:rPr>
          <w:b/>
          <w:i/>
          <w:u w:val="single"/>
        </w:rPr>
      </w:pPr>
      <w:r w:rsidRPr="00AE4548">
        <w:rPr>
          <w:b/>
          <w:i/>
          <w:u w:val="single"/>
        </w:rPr>
        <w:t>A szabályzatot a</w:t>
      </w:r>
      <w:r w:rsidR="00AF42D4" w:rsidRPr="00AE4548">
        <w:rPr>
          <w:b/>
          <w:i/>
          <w:u w:val="single"/>
        </w:rPr>
        <w:t xml:space="preserve"> BME</w:t>
      </w:r>
      <w:r w:rsidRPr="00AE4548">
        <w:rPr>
          <w:b/>
          <w:i/>
          <w:u w:val="single"/>
        </w:rPr>
        <w:t xml:space="preserve"> Gazdasági és Műszaki Főigazgatóság</w:t>
      </w:r>
      <w:r w:rsidR="00967316" w:rsidRPr="00AE4548">
        <w:rPr>
          <w:b/>
          <w:i/>
          <w:u w:val="single"/>
        </w:rPr>
        <w:t>,</w:t>
      </w:r>
      <w:r w:rsidRPr="00AE4548">
        <w:rPr>
          <w:b/>
          <w:i/>
          <w:u w:val="single"/>
        </w:rPr>
        <w:t xml:space="preserve"> </w:t>
      </w:r>
      <w:r w:rsidR="00AF42D4" w:rsidRPr="00AE4548">
        <w:rPr>
          <w:b/>
          <w:i/>
          <w:u w:val="single"/>
        </w:rPr>
        <w:t>Jogi Osztály gondozza.</w:t>
      </w:r>
      <w:r w:rsidR="00AE4548">
        <w:rPr>
          <w:rStyle w:val="Lbjegyzet-hivatkozs"/>
          <w:b/>
          <w:i/>
          <w:u w:val="single"/>
        </w:rPr>
        <w:footnoteReference w:id="40"/>
      </w:r>
    </w:p>
    <w:p w14:paraId="0BF97B8A" w14:textId="2C62B3D7" w:rsidR="00301A70" w:rsidRDefault="00301A70" w:rsidP="00946E37">
      <w:pPr>
        <w:pStyle w:val="helydtum"/>
      </w:pPr>
      <w:r>
        <w:t xml:space="preserve">Budapest, </w:t>
      </w:r>
      <w:r w:rsidR="001F5E53">
        <w:t>20</w:t>
      </w:r>
      <w:r w:rsidR="00ED29F6">
        <w:t>21. január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0"/>
        <w:gridCol w:w="4540"/>
      </w:tblGrid>
      <w:tr w:rsidR="00E64A56" w:rsidRPr="00ED29F6" w14:paraId="4FAAB583" w14:textId="77777777">
        <w:tc>
          <w:tcPr>
            <w:tcW w:w="4606" w:type="dxa"/>
          </w:tcPr>
          <w:p w14:paraId="7D051A32" w14:textId="77777777" w:rsidR="00E64A56" w:rsidRPr="00ED29F6" w:rsidRDefault="00E64A56" w:rsidP="00187E79">
            <w:pPr>
              <w:rPr>
                <w:b/>
                <w:bCs/>
              </w:rPr>
            </w:pPr>
          </w:p>
        </w:tc>
        <w:tc>
          <w:tcPr>
            <w:tcW w:w="4606" w:type="dxa"/>
          </w:tcPr>
          <w:p w14:paraId="47CAF1CA" w14:textId="04006933" w:rsidR="00E64A56" w:rsidRPr="00ED29F6" w:rsidRDefault="00E64A56" w:rsidP="00E042B3">
            <w:pPr>
              <w:pStyle w:val="alrs"/>
              <w:rPr>
                <w:b/>
                <w:bCs/>
              </w:rPr>
            </w:pPr>
            <w:r w:rsidRPr="00ED29F6">
              <w:rPr>
                <w:b/>
                <w:bCs/>
              </w:rPr>
              <w:t xml:space="preserve">Dr. </w:t>
            </w:r>
            <w:r w:rsidR="00ED29F6" w:rsidRPr="00ED29F6">
              <w:rPr>
                <w:b/>
                <w:bCs/>
              </w:rPr>
              <w:t>Józsa János</w:t>
            </w:r>
          </w:p>
        </w:tc>
      </w:tr>
      <w:tr w:rsidR="00E64A56" w14:paraId="7300F9DB" w14:textId="77777777">
        <w:tc>
          <w:tcPr>
            <w:tcW w:w="4606" w:type="dxa"/>
          </w:tcPr>
          <w:p w14:paraId="63024857" w14:textId="77777777" w:rsidR="00E64A56" w:rsidRDefault="00E64A56" w:rsidP="00187E79"/>
        </w:tc>
        <w:tc>
          <w:tcPr>
            <w:tcW w:w="4606" w:type="dxa"/>
          </w:tcPr>
          <w:p w14:paraId="699E2511" w14:textId="77777777" w:rsidR="00E64A56" w:rsidRDefault="00E64A56" w:rsidP="00E042B3">
            <w:pPr>
              <w:pStyle w:val="alrs"/>
            </w:pPr>
            <w:r>
              <w:t>rektor</w:t>
            </w:r>
          </w:p>
        </w:tc>
      </w:tr>
    </w:tbl>
    <w:p w14:paraId="077E29FE" w14:textId="77777777" w:rsidR="00301A70" w:rsidRDefault="00301A70" w:rsidP="00187E79"/>
    <w:sectPr w:rsidR="00301A70" w:rsidSect="00887E6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26D5" w14:textId="77777777" w:rsidR="009930FF" w:rsidRDefault="009930FF">
      <w:r>
        <w:separator/>
      </w:r>
    </w:p>
  </w:endnote>
  <w:endnote w:type="continuationSeparator" w:id="0">
    <w:p w14:paraId="6F338615" w14:textId="77777777" w:rsidR="009930FF" w:rsidRDefault="0099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D922" w14:textId="77777777" w:rsidR="009930FF" w:rsidRDefault="009930FF">
    <w:pPr>
      <w:pStyle w:val="llb"/>
      <w:framePr w:wrap="auto" w:vAnchor="text" w:hAnchor="margin" w:xAlign="center" w:y="1"/>
      <w:widowControl/>
    </w:pPr>
    <w:r>
      <w:fldChar w:fldCharType="begin"/>
    </w:r>
    <w:r>
      <w:instrText xml:space="preserve">PAGE  </w:instrText>
    </w:r>
    <w:r>
      <w:fldChar w:fldCharType="separate"/>
    </w:r>
    <w:r w:rsidR="00F816CF">
      <w:rPr>
        <w:noProof/>
      </w:rPr>
      <w:t>16</w:t>
    </w:r>
    <w:r>
      <w:rPr>
        <w:noProof/>
      </w:rPr>
      <w:fldChar w:fldCharType="end"/>
    </w:r>
  </w:p>
  <w:p w14:paraId="0C37B3F0" w14:textId="77777777" w:rsidR="009930FF" w:rsidRDefault="009930FF">
    <w:pPr>
      <w:pStyle w:val="llb"/>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AA40" w14:textId="77777777" w:rsidR="009930FF" w:rsidRDefault="009930FF">
      <w:r>
        <w:separator/>
      </w:r>
    </w:p>
  </w:footnote>
  <w:footnote w:type="continuationSeparator" w:id="0">
    <w:p w14:paraId="15741171" w14:textId="77777777" w:rsidR="009930FF" w:rsidRDefault="009930FF">
      <w:r>
        <w:continuationSeparator/>
      </w:r>
    </w:p>
  </w:footnote>
  <w:footnote w:id="1">
    <w:p w14:paraId="50A8E372" w14:textId="77777777" w:rsidR="009930FF" w:rsidRPr="008614E5" w:rsidRDefault="009930FF">
      <w:pPr>
        <w:pStyle w:val="Lbjegyzetszveg"/>
      </w:pPr>
      <w:r>
        <w:rPr>
          <w:rStyle w:val="Lbjegyzet-hivatkozs"/>
        </w:rPr>
        <w:footnoteRef/>
      </w:r>
      <w:r>
        <w:t xml:space="preserve"> Módosította a </w:t>
      </w:r>
      <w:r w:rsidRPr="008614E5">
        <w:t xml:space="preserve">Szenátus a </w:t>
      </w:r>
      <w:r w:rsidRPr="00AE4548">
        <w:rPr>
          <w:bCs/>
          <w:color w:val="000000"/>
        </w:rPr>
        <w:t>2013. június 24-ei ülésén, hatályba lépés napja: 2013. június 24-e.</w:t>
      </w:r>
    </w:p>
  </w:footnote>
  <w:footnote w:id="2">
    <w:p w14:paraId="7A2A6EF1" w14:textId="77777777" w:rsidR="009930FF" w:rsidRDefault="009930FF">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3">
    <w:p w14:paraId="48EF0E48" w14:textId="77777777" w:rsidR="009930FF" w:rsidRDefault="009930FF">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4">
    <w:p w14:paraId="1603CE61" w14:textId="77777777" w:rsidR="009930FF" w:rsidRDefault="009930FF">
      <w:pPr>
        <w:pStyle w:val="Lbjegyzetszveg"/>
      </w:pPr>
      <w:r>
        <w:rPr>
          <w:rStyle w:val="Lbjegyzet-hivatkozs"/>
        </w:rPr>
        <w:footnoteRef/>
      </w:r>
      <w:r>
        <w:t xml:space="preserve"> Törölte a </w:t>
      </w:r>
      <w:r w:rsidRPr="008614E5">
        <w:t xml:space="preserve">Szenátus a </w:t>
      </w:r>
      <w:r w:rsidRPr="00B85BF3">
        <w:rPr>
          <w:bCs/>
          <w:color w:val="000000"/>
        </w:rPr>
        <w:t>2013. június 24-ei ülésén, hatályba lépés napja: 2013. június 24-e.</w:t>
      </w:r>
    </w:p>
  </w:footnote>
  <w:footnote w:id="5">
    <w:p w14:paraId="2B111A22" w14:textId="77777777" w:rsidR="009930FF" w:rsidRDefault="009930FF">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6">
    <w:p w14:paraId="4A245B59" w14:textId="77777777" w:rsidR="009930FF" w:rsidRDefault="009930FF">
      <w:pPr>
        <w:pStyle w:val="Lbjegyzetszveg"/>
      </w:pPr>
      <w:r>
        <w:rPr>
          <w:rStyle w:val="Lbjegyzet-hivatkozs"/>
        </w:rPr>
        <w:footnoteRef/>
      </w:r>
      <w:r>
        <w:t xml:space="preserve"> Törölte a </w:t>
      </w:r>
      <w:r w:rsidRPr="008614E5">
        <w:t xml:space="preserve">Szenátus a </w:t>
      </w:r>
      <w:r w:rsidRPr="00B85BF3">
        <w:rPr>
          <w:bCs/>
          <w:color w:val="000000"/>
        </w:rPr>
        <w:t>2013. június 24-ei ülésén, hatályba lépés napja: 2013. június 24-e.</w:t>
      </w:r>
    </w:p>
  </w:footnote>
  <w:footnote w:id="7">
    <w:p w14:paraId="6FD14CBB" w14:textId="77777777" w:rsidR="009930FF" w:rsidRDefault="009930FF">
      <w:pPr>
        <w:pStyle w:val="Lbjegyzetszveg"/>
      </w:pPr>
      <w:r>
        <w:rPr>
          <w:rStyle w:val="Lbjegyzet-hivatkozs"/>
        </w:rPr>
        <w:footnoteRef/>
      </w:r>
      <w:r>
        <w:t xml:space="preserve"> Törölte a </w:t>
      </w:r>
      <w:r w:rsidRPr="008614E5">
        <w:t xml:space="preserve">Szenátus a </w:t>
      </w:r>
      <w:r w:rsidRPr="00B85BF3">
        <w:rPr>
          <w:bCs/>
          <w:color w:val="000000"/>
        </w:rPr>
        <w:t>2013. június 24-ei ülésén, hatályba lépés napja: 2013. június 24-e.</w:t>
      </w:r>
    </w:p>
  </w:footnote>
  <w:footnote w:id="8">
    <w:p w14:paraId="4B79953F" w14:textId="77777777" w:rsidR="009930FF" w:rsidRDefault="009930FF">
      <w:pPr>
        <w:pStyle w:val="Lbjegyzetszveg"/>
      </w:pPr>
      <w:r>
        <w:rPr>
          <w:rStyle w:val="Lbjegyzet-hivatkozs"/>
        </w:rPr>
        <w:footnoteRef/>
      </w:r>
      <w:r>
        <w:t xml:space="preserve"> Beillesztette</w:t>
      </w:r>
      <w:r w:rsidRPr="009930FF">
        <w:t xml:space="preserve"> </w:t>
      </w:r>
      <w:r>
        <w:t xml:space="preserve">a </w:t>
      </w:r>
      <w:r w:rsidRPr="008614E5">
        <w:t xml:space="preserve">Szenátus a </w:t>
      </w:r>
      <w:r w:rsidRPr="00B85BF3">
        <w:rPr>
          <w:bCs/>
          <w:color w:val="000000"/>
        </w:rPr>
        <w:t>2013. június 24-ei ülésén, hatályba lépés napja: 2013. június 24-e.</w:t>
      </w:r>
    </w:p>
  </w:footnote>
  <w:footnote w:id="9">
    <w:p w14:paraId="125F80B5" w14:textId="77777777" w:rsidR="009930FF" w:rsidRDefault="009930FF">
      <w:pPr>
        <w:pStyle w:val="Lbjegyzetszveg"/>
      </w:pPr>
      <w:r>
        <w:rPr>
          <w:rStyle w:val="Lbjegyzet-hivatkozs"/>
        </w:rPr>
        <w:footnoteRef/>
      </w:r>
      <w:r>
        <w:t xml:space="preserve"> Törölte a </w:t>
      </w:r>
      <w:r w:rsidRPr="008614E5">
        <w:t xml:space="preserve">Szenátus a </w:t>
      </w:r>
      <w:r w:rsidRPr="00B85BF3">
        <w:rPr>
          <w:bCs/>
          <w:color w:val="000000"/>
        </w:rPr>
        <w:t>2013. június 24-ei ülésén, hatályba lépés napja: 2013. június 24-e.</w:t>
      </w:r>
    </w:p>
  </w:footnote>
  <w:footnote w:id="10">
    <w:p w14:paraId="74D96C07" w14:textId="77777777" w:rsidR="009930FF" w:rsidRDefault="009930FF">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11">
    <w:p w14:paraId="5412454C" w14:textId="77777777" w:rsidR="009930FF" w:rsidRDefault="009930FF">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12">
    <w:p w14:paraId="5BF95F15" w14:textId="77777777" w:rsidR="009930FF" w:rsidRDefault="009930FF">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13">
    <w:p w14:paraId="08C186BE" w14:textId="77777777" w:rsidR="009930FF" w:rsidRDefault="009930FF">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14">
    <w:p w14:paraId="035ADFE6" w14:textId="77777777" w:rsidR="009930FF" w:rsidRDefault="009930FF">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15">
    <w:p w14:paraId="504C28DC" w14:textId="77777777" w:rsidR="009930FF" w:rsidRDefault="009930FF">
      <w:pPr>
        <w:pStyle w:val="Lbjegyzetszveg"/>
      </w:pPr>
      <w:r>
        <w:rPr>
          <w:rStyle w:val="Lbjegyzet-hivatkozs"/>
        </w:rPr>
        <w:footnoteRef/>
      </w:r>
      <w:r>
        <w:t xml:space="preserve"> Törölte a </w:t>
      </w:r>
      <w:r w:rsidRPr="008614E5">
        <w:t xml:space="preserve">Szenátus a </w:t>
      </w:r>
      <w:r w:rsidRPr="00B85BF3">
        <w:rPr>
          <w:bCs/>
          <w:color w:val="000000"/>
        </w:rPr>
        <w:t>2013. június 24-ei ülésén, hatályba lépés napja: 2013. június 24-e.</w:t>
      </w:r>
    </w:p>
  </w:footnote>
  <w:footnote w:id="16">
    <w:p w14:paraId="14C86381" w14:textId="77777777" w:rsidR="004F0C55" w:rsidRDefault="004F0C55">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17">
    <w:p w14:paraId="3F86DB1E" w14:textId="0E5279CB" w:rsidR="005177D7" w:rsidRDefault="005177D7">
      <w:pPr>
        <w:pStyle w:val="Lbjegyzetszveg"/>
      </w:pPr>
      <w:r>
        <w:rPr>
          <w:rStyle w:val="Lbjegyzet-hivatkozs"/>
        </w:rPr>
        <w:footnoteRef/>
      </w:r>
      <w:r>
        <w:t xml:space="preserve"> Módosította a </w:t>
      </w:r>
      <w:r w:rsidRPr="008614E5">
        <w:t xml:space="preserve">Szenátus a </w:t>
      </w:r>
      <w:r w:rsidRPr="00B85BF3">
        <w:rPr>
          <w:bCs/>
          <w:color w:val="000000"/>
        </w:rPr>
        <w:t>20</w:t>
      </w:r>
      <w:r>
        <w:rPr>
          <w:bCs/>
          <w:color w:val="000000"/>
        </w:rPr>
        <w:t>21</w:t>
      </w:r>
      <w:r w:rsidRPr="00B85BF3">
        <w:rPr>
          <w:bCs/>
          <w:color w:val="000000"/>
        </w:rPr>
        <w:t>. j</w:t>
      </w:r>
      <w:r>
        <w:rPr>
          <w:bCs/>
          <w:color w:val="000000"/>
        </w:rPr>
        <w:t>anuár</w:t>
      </w:r>
      <w:r w:rsidRPr="00B85BF3">
        <w:rPr>
          <w:bCs/>
          <w:color w:val="000000"/>
        </w:rPr>
        <w:t xml:space="preserve"> 2</w:t>
      </w:r>
      <w:r>
        <w:rPr>
          <w:bCs/>
          <w:color w:val="000000"/>
        </w:rPr>
        <w:t>5</w:t>
      </w:r>
      <w:r w:rsidRPr="00B85BF3">
        <w:rPr>
          <w:bCs/>
          <w:color w:val="000000"/>
        </w:rPr>
        <w:t xml:space="preserve">-ei ülésén, hatályba lépés napja: </w:t>
      </w:r>
      <w:r>
        <w:rPr>
          <w:bCs/>
          <w:color w:val="000000"/>
        </w:rPr>
        <w:t>2021. január 21</w:t>
      </w:r>
      <w:r w:rsidRPr="00B85BF3">
        <w:rPr>
          <w:bCs/>
          <w:color w:val="000000"/>
        </w:rPr>
        <w:t>-e.</w:t>
      </w:r>
    </w:p>
  </w:footnote>
  <w:footnote w:id="18">
    <w:p w14:paraId="74B1FDEA" w14:textId="0831A550" w:rsidR="005177D7" w:rsidRDefault="005177D7">
      <w:pPr>
        <w:pStyle w:val="Lbjegyzetszveg"/>
      </w:pPr>
      <w:r>
        <w:rPr>
          <w:rStyle w:val="Lbjegyzet-hivatkozs"/>
        </w:rPr>
        <w:footnoteRef/>
      </w:r>
      <w:r>
        <w:t xml:space="preserve"> Törölte a </w:t>
      </w:r>
      <w:r w:rsidRPr="008614E5">
        <w:t xml:space="preserve">Szenátus a </w:t>
      </w:r>
      <w:r w:rsidRPr="00B85BF3">
        <w:rPr>
          <w:bCs/>
          <w:color w:val="000000"/>
        </w:rPr>
        <w:t>20</w:t>
      </w:r>
      <w:r>
        <w:rPr>
          <w:bCs/>
          <w:color w:val="000000"/>
        </w:rPr>
        <w:t>21</w:t>
      </w:r>
      <w:r w:rsidRPr="00B85BF3">
        <w:rPr>
          <w:bCs/>
          <w:color w:val="000000"/>
        </w:rPr>
        <w:t>. j</w:t>
      </w:r>
      <w:r>
        <w:rPr>
          <w:bCs/>
          <w:color w:val="000000"/>
        </w:rPr>
        <w:t>anuár</w:t>
      </w:r>
      <w:r w:rsidRPr="00B85BF3">
        <w:rPr>
          <w:bCs/>
          <w:color w:val="000000"/>
        </w:rPr>
        <w:t xml:space="preserve"> 2</w:t>
      </w:r>
      <w:r>
        <w:rPr>
          <w:bCs/>
          <w:color w:val="000000"/>
        </w:rPr>
        <w:t>5</w:t>
      </w:r>
      <w:r w:rsidRPr="00B85BF3">
        <w:rPr>
          <w:bCs/>
          <w:color w:val="000000"/>
        </w:rPr>
        <w:t xml:space="preserve">-ei ülésén, hatályba lépés napja: </w:t>
      </w:r>
      <w:r>
        <w:rPr>
          <w:bCs/>
          <w:color w:val="000000"/>
        </w:rPr>
        <w:t>2021. január 21</w:t>
      </w:r>
      <w:r w:rsidRPr="00B85BF3">
        <w:rPr>
          <w:bCs/>
          <w:color w:val="000000"/>
        </w:rPr>
        <w:t>-e.</w:t>
      </w:r>
    </w:p>
  </w:footnote>
  <w:footnote w:id="19">
    <w:p w14:paraId="2007F649" w14:textId="4CE99FEE" w:rsidR="005177D7" w:rsidRDefault="005177D7">
      <w:pPr>
        <w:pStyle w:val="Lbjegyzetszveg"/>
      </w:pPr>
      <w:r>
        <w:rPr>
          <w:rStyle w:val="Lbjegyzet-hivatkozs"/>
        </w:rPr>
        <w:footnoteRef/>
      </w:r>
      <w:r>
        <w:t xml:space="preserve"> Törölte a </w:t>
      </w:r>
      <w:r w:rsidRPr="008614E5">
        <w:t xml:space="preserve">Szenátus a </w:t>
      </w:r>
      <w:r w:rsidRPr="00B85BF3">
        <w:rPr>
          <w:bCs/>
          <w:color w:val="000000"/>
        </w:rPr>
        <w:t>2013. június 24-ei ülésén, hatályba lépés napja: 2013. június 24-e.</w:t>
      </w:r>
    </w:p>
  </w:footnote>
  <w:footnote w:id="20">
    <w:p w14:paraId="032AD05F" w14:textId="77777777" w:rsidR="00303CBF" w:rsidRDefault="00303CBF">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21">
    <w:p w14:paraId="1C888768" w14:textId="77777777" w:rsidR="009930FF" w:rsidRDefault="009930FF">
      <w:pPr>
        <w:pStyle w:val="Lbjegyzetszveg"/>
      </w:pPr>
      <w:r>
        <w:rPr>
          <w:rStyle w:val="Lbjegyzet-hivatkozs"/>
        </w:rPr>
        <w:footnoteRef/>
      </w:r>
      <w:r>
        <w:t xml:space="preserve"> Törölte a szenátus </w:t>
      </w:r>
      <w:proofErr w:type="gramStart"/>
      <w:r>
        <w:t>IX./</w:t>
      </w:r>
      <w:proofErr w:type="gramEnd"/>
      <w:r>
        <w:t>2./2018-2019. számú határozata, hatályos: 2019. VII. 01-től</w:t>
      </w:r>
    </w:p>
  </w:footnote>
  <w:footnote w:id="22">
    <w:p w14:paraId="3CBF71C8" w14:textId="77777777" w:rsidR="006A17B9" w:rsidRDefault="006A17B9">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23">
    <w:p w14:paraId="177CDDB3" w14:textId="77777777" w:rsidR="006A17B9" w:rsidRDefault="006A17B9">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24">
    <w:p w14:paraId="2C51DFEA" w14:textId="77777777" w:rsidR="006A17B9" w:rsidRDefault="006A17B9">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25">
    <w:p w14:paraId="5C07DD36" w14:textId="77777777" w:rsidR="006A17B9" w:rsidRDefault="006A17B9">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26">
    <w:p w14:paraId="34BE4C37" w14:textId="77777777" w:rsidR="006A17B9" w:rsidRDefault="006A17B9">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27">
    <w:p w14:paraId="037EAD88" w14:textId="77777777" w:rsidR="006A17B9" w:rsidRDefault="006A17B9">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28">
    <w:p w14:paraId="2DD3DBD3" w14:textId="77777777" w:rsidR="006A17B9" w:rsidRDefault="006A17B9">
      <w:pPr>
        <w:pStyle w:val="Lbjegyzetszveg"/>
      </w:pPr>
      <w:r>
        <w:rPr>
          <w:rStyle w:val="Lbjegyzet-hivatkozs"/>
        </w:rPr>
        <w:footnoteRef/>
      </w:r>
      <w:r>
        <w:t xml:space="preserve"> Beillesztette </w:t>
      </w:r>
      <w:proofErr w:type="gramStart"/>
      <w:r>
        <w:t xml:space="preserve">a </w:t>
      </w:r>
      <w:proofErr w:type="spellStart"/>
      <w:r>
        <w:t>a</w:t>
      </w:r>
      <w:proofErr w:type="spellEnd"/>
      <w:proofErr w:type="gramEnd"/>
      <w:r>
        <w:t xml:space="preserve"> </w:t>
      </w:r>
      <w:r w:rsidRPr="008614E5">
        <w:t xml:space="preserve">Szenátus a </w:t>
      </w:r>
      <w:r w:rsidRPr="00B85BF3">
        <w:rPr>
          <w:bCs/>
          <w:color w:val="000000"/>
        </w:rPr>
        <w:t>2013. június 24-ei ülésén, hatályba lépés napja: 2013. június 24-e.</w:t>
      </w:r>
    </w:p>
  </w:footnote>
  <w:footnote w:id="29">
    <w:p w14:paraId="33A507F1" w14:textId="77777777" w:rsidR="006A17B9" w:rsidRDefault="006A17B9">
      <w:pPr>
        <w:pStyle w:val="Lbjegyzetszveg"/>
      </w:pPr>
      <w:r>
        <w:rPr>
          <w:rStyle w:val="Lbjegyzet-hivatkozs"/>
        </w:rPr>
        <w:footnoteRef/>
      </w:r>
      <w:r>
        <w:t xml:space="preserve"> </w:t>
      </w:r>
      <w:r w:rsidR="00AE4548">
        <w:t xml:space="preserve">Beillesztette a </w:t>
      </w:r>
      <w:r w:rsidR="00AE4548" w:rsidRPr="008614E5">
        <w:t xml:space="preserve">Szenátus a </w:t>
      </w:r>
      <w:r w:rsidR="00AE4548" w:rsidRPr="00B85BF3">
        <w:rPr>
          <w:bCs/>
          <w:color w:val="000000"/>
        </w:rPr>
        <w:t>2013. június 24-ei ülésén, hatályba lépés napja: 2013. június 24-e.</w:t>
      </w:r>
    </w:p>
  </w:footnote>
  <w:footnote w:id="30">
    <w:p w14:paraId="5D2E7DAB" w14:textId="77777777" w:rsidR="006A17B9" w:rsidRDefault="006A17B9">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31">
    <w:p w14:paraId="5B97F025" w14:textId="77777777" w:rsidR="006A17B9" w:rsidRDefault="006A17B9">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 w:id="32">
    <w:p w14:paraId="6EE4B246" w14:textId="77777777" w:rsidR="00AE4548" w:rsidRDefault="00AE4548">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33">
    <w:p w14:paraId="56982AC7" w14:textId="77777777" w:rsidR="00AE4548" w:rsidRDefault="00AE4548">
      <w:pPr>
        <w:pStyle w:val="Lbjegyzetszveg"/>
      </w:pPr>
      <w:r>
        <w:rPr>
          <w:rStyle w:val="Lbjegyzet-hivatkozs"/>
        </w:rPr>
        <w:footnoteRef/>
      </w:r>
      <w:r>
        <w:t xml:space="preserve"> Törölte a </w:t>
      </w:r>
      <w:r w:rsidRPr="008614E5">
        <w:t xml:space="preserve">Szenátus a </w:t>
      </w:r>
      <w:r w:rsidRPr="00B85BF3">
        <w:rPr>
          <w:bCs/>
          <w:color w:val="000000"/>
        </w:rPr>
        <w:t>2013. június 24-ei ülésén, hatályba lépés napja: 2013. június 24-e.</w:t>
      </w:r>
    </w:p>
  </w:footnote>
  <w:footnote w:id="34">
    <w:p w14:paraId="26ADFE2B" w14:textId="77777777" w:rsidR="00AE4548" w:rsidRDefault="00AE4548">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35">
    <w:p w14:paraId="7BFC8458" w14:textId="77777777" w:rsidR="00AE4548" w:rsidRDefault="00AE4548">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36">
    <w:p w14:paraId="216E242C" w14:textId="77777777" w:rsidR="00AE4548" w:rsidRDefault="00AE4548">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37">
    <w:p w14:paraId="196E7DBC" w14:textId="77777777" w:rsidR="00AE4548" w:rsidRDefault="00AE4548">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38">
    <w:p w14:paraId="3EDA4F4B" w14:textId="77777777" w:rsidR="009930FF" w:rsidRDefault="009930FF">
      <w:pPr>
        <w:pStyle w:val="Lbjegyzetszveg"/>
      </w:pPr>
      <w:r>
        <w:rPr>
          <w:rStyle w:val="Lbjegyzet-hivatkozs"/>
        </w:rPr>
        <w:footnoteRef/>
      </w:r>
      <w:r>
        <w:t xml:space="preserve"> Törölte a Szenátus X./10./2015-2016. (2016. VII. 11.) számú határozata, hatályos: 2016. IX. 01-től</w:t>
      </w:r>
    </w:p>
  </w:footnote>
  <w:footnote w:id="39">
    <w:p w14:paraId="5820BA59" w14:textId="77777777" w:rsidR="00AE4548" w:rsidRDefault="00AE4548">
      <w:pPr>
        <w:pStyle w:val="Lbjegyzetszveg"/>
      </w:pPr>
      <w:r>
        <w:rPr>
          <w:rStyle w:val="Lbjegyzet-hivatkozs"/>
        </w:rPr>
        <w:footnoteRef/>
      </w:r>
      <w:r>
        <w:t xml:space="preserve"> Módosította a </w:t>
      </w:r>
      <w:r w:rsidRPr="008614E5">
        <w:t xml:space="preserve">Szenátus a </w:t>
      </w:r>
      <w:r w:rsidRPr="00B85BF3">
        <w:rPr>
          <w:bCs/>
          <w:color w:val="000000"/>
        </w:rPr>
        <w:t>2013. június 24-ei ülésén, hatályba lépés napja: 2013. június 24-e.</w:t>
      </w:r>
    </w:p>
  </w:footnote>
  <w:footnote w:id="40">
    <w:p w14:paraId="7A99DAD2" w14:textId="77777777" w:rsidR="00AE4548" w:rsidRDefault="00AE4548">
      <w:pPr>
        <w:pStyle w:val="Lbjegyzetszveg"/>
      </w:pPr>
      <w:r>
        <w:rPr>
          <w:rStyle w:val="Lbjegyzet-hivatkozs"/>
        </w:rPr>
        <w:footnoteRef/>
      </w:r>
      <w:r>
        <w:t xml:space="preserve"> Beillesztette a </w:t>
      </w:r>
      <w:r w:rsidRPr="008614E5">
        <w:t xml:space="preserve">Szenátus a </w:t>
      </w:r>
      <w:r w:rsidRPr="00B85BF3">
        <w:rPr>
          <w:bCs/>
          <w:color w:val="000000"/>
        </w:rPr>
        <w:t>2013. június 24-ei ülésén, hatályba lépés napja: 2013. június 24-e.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D6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AE287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975AE"/>
    <w:multiLevelType w:val="multilevel"/>
    <w:tmpl w:val="040E001D"/>
    <w:numStyleLink w:val="1ai"/>
  </w:abstractNum>
  <w:abstractNum w:abstractNumId="3" w15:restartNumberingAfterBreak="0">
    <w:nsid w:val="1EED1CC7"/>
    <w:multiLevelType w:val="multilevel"/>
    <w:tmpl w:val="040E001D"/>
    <w:numStyleLink w:val="1ai"/>
  </w:abstractNum>
  <w:abstractNum w:abstractNumId="4" w15:restartNumberingAfterBreak="0">
    <w:nsid w:val="22F12A20"/>
    <w:multiLevelType w:val="multilevel"/>
    <w:tmpl w:val="040E001D"/>
    <w:numStyleLink w:val="1ai"/>
  </w:abstractNum>
  <w:abstractNum w:abstractNumId="5" w15:restartNumberingAfterBreak="0">
    <w:nsid w:val="26856FFD"/>
    <w:multiLevelType w:val="multilevel"/>
    <w:tmpl w:val="74C04A1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23092E"/>
    <w:multiLevelType w:val="hybridMultilevel"/>
    <w:tmpl w:val="174634A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12359D"/>
    <w:multiLevelType w:val="multilevel"/>
    <w:tmpl w:val="040E001D"/>
    <w:numStyleLink w:val="1ai"/>
  </w:abstractNum>
  <w:abstractNum w:abstractNumId="8" w15:restartNumberingAfterBreak="0">
    <w:nsid w:val="2F0F099F"/>
    <w:multiLevelType w:val="multilevel"/>
    <w:tmpl w:val="040E001D"/>
    <w:numStyleLink w:val="1ai"/>
  </w:abstractNum>
  <w:abstractNum w:abstractNumId="9" w15:restartNumberingAfterBreak="0">
    <w:nsid w:val="330C0081"/>
    <w:multiLevelType w:val="hybridMultilevel"/>
    <w:tmpl w:val="0DC4859A"/>
    <w:lvl w:ilvl="0" w:tplc="EC6EEFFA">
      <w:start w:val="1"/>
      <w:numFmt w:val="decimal"/>
      <w:lvlText w:val="%1)"/>
      <w:lvlJc w:val="left"/>
      <w:pPr>
        <w:tabs>
          <w:tab w:val="num" w:pos="708"/>
        </w:tabs>
        <w:ind w:left="708" w:hanging="528"/>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0" w15:restartNumberingAfterBreak="0">
    <w:nsid w:val="35C200E5"/>
    <w:multiLevelType w:val="multilevel"/>
    <w:tmpl w:val="34B439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63157C"/>
    <w:multiLevelType w:val="multilevel"/>
    <w:tmpl w:val="34B439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633BB5"/>
    <w:multiLevelType w:val="multilevel"/>
    <w:tmpl w:val="040E001D"/>
    <w:numStyleLink w:val="1ai"/>
  </w:abstractNum>
  <w:abstractNum w:abstractNumId="13" w15:restartNumberingAfterBreak="0">
    <w:nsid w:val="40C44F53"/>
    <w:multiLevelType w:val="multilevel"/>
    <w:tmpl w:val="040E001D"/>
    <w:numStyleLink w:val="1ai"/>
  </w:abstractNum>
  <w:abstractNum w:abstractNumId="14" w15:restartNumberingAfterBreak="0">
    <w:nsid w:val="40F23404"/>
    <w:multiLevelType w:val="hybridMultilevel"/>
    <w:tmpl w:val="D618EE7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CF153B"/>
    <w:multiLevelType w:val="multilevel"/>
    <w:tmpl w:val="040E001D"/>
    <w:numStyleLink w:val="1ai"/>
  </w:abstractNum>
  <w:abstractNum w:abstractNumId="16" w15:restartNumberingAfterBreak="0">
    <w:nsid w:val="46C70B92"/>
    <w:multiLevelType w:val="multilevel"/>
    <w:tmpl w:val="040E001D"/>
    <w:numStyleLink w:val="1ai"/>
  </w:abstractNum>
  <w:abstractNum w:abstractNumId="17" w15:restartNumberingAfterBreak="0">
    <w:nsid w:val="4DD6439D"/>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FF2347"/>
    <w:multiLevelType w:val="multilevel"/>
    <w:tmpl w:val="040E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53BE6148"/>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B464AA"/>
    <w:multiLevelType w:val="multilevel"/>
    <w:tmpl w:val="040E001D"/>
    <w:numStyleLink w:val="1ai"/>
  </w:abstractNum>
  <w:abstractNum w:abstractNumId="21" w15:restartNumberingAfterBreak="0">
    <w:nsid w:val="5BF51A43"/>
    <w:multiLevelType w:val="multilevel"/>
    <w:tmpl w:val="040E001D"/>
    <w:numStyleLink w:val="1ai"/>
  </w:abstractNum>
  <w:abstractNum w:abstractNumId="22" w15:restartNumberingAfterBreak="0">
    <w:nsid w:val="5C1434EF"/>
    <w:multiLevelType w:val="multilevel"/>
    <w:tmpl w:val="040E001D"/>
    <w:numStyleLink w:val="1ai"/>
  </w:abstractNum>
  <w:abstractNum w:abstractNumId="23" w15:restartNumberingAfterBreak="0">
    <w:nsid w:val="5D6112A1"/>
    <w:multiLevelType w:val="multilevel"/>
    <w:tmpl w:val="040E001D"/>
    <w:numStyleLink w:val="1ai"/>
  </w:abstractNum>
  <w:abstractNum w:abstractNumId="24" w15:restartNumberingAfterBreak="0">
    <w:nsid w:val="5EDA2244"/>
    <w:multiLevelType w:val="multilevel"/>
    <w:tmpl w:val="040E001D"/>
    <w:numStyleLink w:val="1ai"/>
  </w:abstractNum>
  <w:abstractNum w:abstractNumId="25" w15:restartNumberingAfterBreak="0">
    <w:nsid w:val="60125A8E"/>
    <w:multiLevelType w:val="multilevel"/>
    <w:tmpl w:val="040E001D"/>
    <w:numStyleLink w:val="1ai"/>
  </w:abstractNum>
  <w:abstractNum w:abstractNumId="26" w15:restartNumberingAfterBreak="0">
    <w:nsid w:val="63BC5DCF"/>
    <w:multiLevelType w:val="hybridMultilevel"/>
    <w:tmpl w:val="4F30422C"/>
    <w:lvl w:ilvl="0" w:tplc="EC6EEFF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6855509"/>
    <w:multiLevelType w:val="multilevel"/>
    <w:tmpl w:val="34B439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09440A5"/>
    <w:multiLevelType w:val="multilevel"/>
    <w:tmpl w:val="040E001D"/>
    <w:numStyleLink w:val="1ai"/>
  </w:abstractNum>
  <w:abstractNum w:abstractNumId="29" w15:restartNumberingAfterBreak="0">
    <w:nsid w:val="715215E5"/>
    <w:multiLevelType w:val="multilevel"/>
    <w:tmpl w:val="34B439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16265E"/>
    <w:multiLevelType w:val="multilevel"/>
    <w:tmpl w:val="040E001D"/>
    <w:numStyleLink w:val="1ai"/>
  </w:abstractNum>
  <w:abstractNum w:abstractNumId="31" w15:restartNumberingAfterBreak="0">
    <w:nsid w:val="77A849B5"/>
    <w:multiLevelType w:val="multilevel"/>
    <w:tmpl w:val="040E001D"/>
    <w:numStyleLink w:val="1ai"/>
  </w:abstractNum>
  <w:num w:numId="1">
    <w:abstractNumId w:val="27"/>
  </w:num>
  <w:num w:numId="2">
    <w:abstractNumId w:val="10"/>
  </w:num>
  <w:num w:numId="3">
    <w:abstractNumId w:val="29"/>
  </w:num>
  <w:num w:numId="4">
    <w:abstractNumId w:val="17"/>
  </w:num>
  <w:num w:numId="5">
    <w:abstractNumId w:val="11"/>
  </w:num>
  <w:num w:numId="6">
    <w:abstractNumId w:val="1"/>
  </w:num>
  <w:num w:numId="7">
    <w:abstractNumId w:val="18"/>
  </w:num>
  <w:num w:numId="8">
    <w:abstractNumId w:val="19"/>
  </w:num>
  <w:num w:numId="9">
    <w:abstractNumId w:val="13"/>
  </w:num>
  <w:num w:numId="10">
    <w:abstractNumId w:val="30"/>
  </w:num>
  <w:num w:numId="11">
    <w:abstractNumId w:val="2"/>
  </w:num>
  <w:num w:numId="12">
    <w:abstractNumId w:val="24"/>
  </w:num>
  <w:num w:numId="13">
    <w:abstractNumId w:val="16"/>
  </w:num>
  <w:num w:numId="14">
    <w:abstractNumId w:val="4"/>
  </w:num>
  <w:num w:numId="15">
    <w:abstractNumId w:val="20"/>
  </w:num>
  <w:num w:numId="16">
    <w:abstractNumId w:val="22"/>
  </w:num>
  <w:num w:numId="17">
    <w:abstractNumId w:val="23"/>
  </w:num>
  <w:num w:numId="18">
    <w:abstractNumId w:val="7"/>
  </w:num>
  <w:num w:numId="19">
    <w:abstractNumId w:val="3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3"/>
  </w:num>
  <w:num w:numId="21">
    <w:abstractNumId w:val="15"/>
  </w:num>
  <w:num w:numId="22">
    <w:abstractNumId w:val="8"/>
  </w:num>
  <w:num w:numId="23">
    <w:abstractNumId w:val="21"/>
  </w:num>
  <w:num w:numId="24">
    <w:abstractNumId w:val="28"/>
  </w:num>
  <w:num w:numId="25">
    <w:abstractNumId w:val="25"/>
  </w:num>
  <w:num w:numId="26">
    <w:abstractNumId w:val="12"/>
  </w:num>
  <w:num w:numId="27">
    <w:abstractNumId w:val="9"/>
  </w:num>
  <w:num w:numId="28">
    <w:abstractNumId w:val="6"/>
  </w:num>
  <w:num w:numId="29">
    <w:abstractNumId w:val="14"/>
  </w:num>
  <w:num w:numId="30">
    <w:abstractNumId w:val="26"/>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13BD9"/>
    <w:rsid w:val="00024059"/>
    <w:rsid w:val="000413F8"/>
    <w:rsid w:val="00055AB5"/>
    <w:rsid w:val="00064EEB"/>
    <w:rsid w:val="000652CC"/>
    <w:rsid w:val="0006538D"/>
    <w:rsid w:val="00071051"/>
    <w:rsid w:val="000753D5"/>
    <w:rsid w:val="00082463"/>
    <w:rsid w:val="000867A8"/>
    <w:rsid w:val="0009281A"/>
    <w:rsid w:val="000943E6"/>
    <w:rsid w:val="000A539E"/>
    <w:rsid w:val="000A66C5"/>
    <w:rsid w:val="000C103F"/>
    <w:rsid w:val="000D1362"/>
    <w:rsid w:val="000D1380"/>
    <w:rsid w:val="000D1F30"/>
    <w:rsid w:val="000D63C8"/>
    <w:rsid w:val="000D747E"/>
    <w:rsid w:val="000E1969"/>
    <w:rsid w:val="000E3396"/>
    <w:rsid w:val="000F1B8B"/>
    <w:rsid w:val="00104533"/>
    <w:rsid w:val="00116A8A"/>
    <w:rsid w:val="00116F91"/>
    <w:rsid w:val="00122F0E"/>
    <w:rsid w:val="001248E2"/>
    <w:rsid w:val="001261CE"/>
    <w:rsid w:val="001270CA"/>
    <w:rsid w:val="0014158A"/>
    <w:rsid w:val="0015731F"/>
    <w:rsid w:val="001651FE"/>
    <w:rsid w:val="00170E4B"/>
    <w:rsid w:val="00177677"/>
    <w:rsid w:val="00182C48"/>
    <w:rsid w:val="0018629E"/>
    <w:rsid w:val="00187E79"/>
    <w:rsid w:val="00190240"/>
    <w:rsid w:val="001B4015"/>
    <w:rsid w:val="001B7012"/>
    <w:rsid w:val="001C0853"/>
    <w:rsid w:val="001C3AA3"/>
    <w:rsid w:val="001E5171"/>
    <w:rsid w:val="001F5E53"/>
    <w:rsid w:val="00202AF3"/>
    <w:rsid w:val="00210DD7"/>
    <w:rsid w:val="00227AA9"/>
    <w:rsid w:val="002334FA"/>
    <w:rsid w:val="002359FF"/>
    <w:rsid w:val="00237FA5"/>
    <w:rsid w:val="00241440"/>
    <w:rsid w:val="00243BBC"/>
    <w:rsid w:val="00250067"/>
    <w:rsid w:val="00251F8C"/>
    <w:rsid w:val="00256016"/>
    <w:rsid w:val="00256DFE"/>
    <w:rsid w:val="002712BE"/>
    <w:rsid w:val="002754E1"/>
    <w:rsid w:val="00287E3B"/>
    <w:rsid w:val="0029166E"/>
    <w:rsid w:val="00297937"/>
    <w:rsid w:val="00297DB7"/>
    <w:rsid w:val="002A2912"/>
    <w:rsid w:val="002B6D06"/>
    <w:rsid w:val="002C5733"/>
    <w:rsid w:val="002D5B3A"/>
    <w:rsid w:val="002E354E"/>
    <w:rsid w:val="002E39ED"/>
    <w:rsid w:val="002E6D12"/>
    <w:rsid w:val="002F5D80"/>
    <w:rsid w:val="00301A70"/>
    <w:rsid w:val="00303CBF"/>
    <w:rsid w:val="003122BB"/>
    <w:rsid w:val="00313EBA"/>
    <w:rsid w:val="00317AB8"/>
    <w:rsid w:val="00332E48"/>
    <w:rsid w:val="003631D8"/>
    <w:rsid w:val="0036520B"/>
    <w:rsid w:val="00377EAD"/>
    <w:rsid w:val="00383849"/>
    <w:rsid w:val="00385959"/>
    <w:rsid w:val="003B0F71"/>
    <w:rsid w:val="003C5667"/>
    <w:rsid w:val="003F4A01"/>
    <w:rsid w:val="003F6BF3"/>
    <w:rsid w:val="0040282D"/>
    <w:rsid w:val="004036CD"/>
    <w:rsid w:val="004076AB"/>
    <w:rsid w:val="00412300"/>
    <w:rsid w:val="00416E5A"/>
    <w:rsid w:val="00417EEA"/>
    <w:rsid w:val="00421574"/>
    <w:rsid w:val="00435EE8"/>
    <w:rsid w:val="00440015"/>
    <w:rsid w:val="0044528E"/>
    <w:rsid w:val="00446416"/>
    <w:rsid w:val="00451540"/>
    <w:rsid w:val="00480288"/>
    <w:rsid w:val="00484837"/>
    <w:rsid w:val="004857FD"/>
    <w:rsid w:val="00494027"/>
    <w:rsid w:val="004A0522"/>
    <w:rsid w:val="004A21DB"/>
    <w:rsid w:val="004B314F"/>
    <w:rsid w:val="004B609E"/>
    <w:rsid w:val="004C3792"/>
    <w:rsid w:val="004C473E"/>
    <w:rsid w:val="004C676C"/>
    <w:rsid w:val="004D11BF"/>
    <w:rsid w:val="004D7D33"/>
    <w:rsid w:val="004E12F4"/>
    <w:rsid w:val="004F0C55"/>
    <w:rsid w:val="004F168B"/>
    <w:rsid w:val="0050559D"/>
    <w:rsid w:val="005074AD"/>
    <w:rsid w:val="005177D7"/>
    <w:rsid w:val="00523289"/>
    <w:rsid w:val="0053626B"/>
    <w:rsid w:val="00537E69"/>
    <w:rsid w:val="005400F3"/>
    <w:rsid w:val="00543CE4"/>
    <w:rsid w:val="005638B4"/>
    <w:rsid w:val="005648C7"/>
    <w:rsid w:val="005663FE"/>
    <w:rsid w:val="0057023D"/>
    <w:rsid w:val="00574480"/>
    <w:rsid w:val="00583001"/>
    <w:rsid w:val="005D1107"/>
    <w:rsid w:val="005D4C1F"/>
    <w:rsid w:val="00616D85"/>
    <w:rsid w:val="00620993"/>
    <w:rsid w:val="006217BB"/>
    <w:rsid w:val="00626E16"/>
    <w:rsid w:val="00631C78"/>
    <w:rsid w:val="00637EB5"/>
    <w:rsid w:val="00656256"/>
    <w:rsid w:val="00661846"/>
    <w:rsid w:val="006719F8"/>
    <w:rsid w:val="00673FDA"/>
    <w:rsid w:val="0067504B"/>
    <w:rsid w:val="006846B7"/>
    <w:rsid w:val="00694EEA"/>
    <w:rsid w:val="006A07D0"/>
    <w:rsid w:val="006A17B9"/>
    <w:rsid w:val="006A4910"/>
    <w:rsid w:val="006A6017"/>
    <w:rsid w:val="006B7083"/>
    <w:rsid w:val="006C0A69"/>
    <w:rsid w:val="006C11E5"/>
    <w:rsid w:val="006C66B7"/>
    <w:rsid w:val="006F4837"/>
    <w:rsid w:val="0070634F"/>
    <w:rsid w:val="00746D35"/>
    <w:rsid w:val="0075037B"/>
    <w:rsid w:val="007735A7"/>
    <w:rsid w:val="007742EC"/>
    <w:rsid w:val="00780E5E"/>
    <w:rsid w:val="007A03BC"/>
    <w:rsid w:val="007A25AF"/>
    <w:rsid w:val="007A3143"/>
    <w:rsid w:val="007A57BE"/>
    <w:rsid w:val="007B626E"/>
    <w:rsid w:val="007F053D"/>
    <w:rsid w:val="007F3B4D"/>
    <w:rsid w:val="007F4589"/>
    <w:rsid w:val="0080677D"/>
    <w:rsid w:val="00806E91"/>
    <w:rsid w:val="008211F2"/>
    <w:rsid w:val="00821C38"/>
    <w:rsid w:val="00823753"/>
    <w:rsid w:val="00827AC1"/>
    <w:rsid w:val="008306A5"/>
    <w:rsid w:val="008440D9"/>
    <w:rsid w:val="0084425A"/>
    <w:rsid w:val="008614E5"/>
    <w:rsid w:val="008624A0"/>
    <w:rsid w:val="0086481A"/>
    <w:rsid w:val="00874DDD"/>
    <w:rsid w:val="00887E6F"/>
    <w:rsid w:val="008917B3"/>
    <w:rsid w:val="008938F3"/>
    <w:rsid w:val="00895E26"/>
    <w:rsid w:val="008C1234"/>
    <w:rsid w:val="008D4453"/>
    <w:rsid w:val="008D7D5E"/>
    <w:rsid w:val="00902ECC"/>
    <w:rsid w:val="0092242F"/>
    <w:rsid w:val="0093020F"/>
    <w:rsid w:val="00937A12"/>
    <w:rsid w:val="009435D4"/>
    <w:rsid w:val="00946E37"/>
    <w:rsid w:val="009578C3"/>
    <w:rsid w:val="009656F8"/>
    <w:rsid w:val="00967316"/>
    <w:rsid w:val="00974C70"/>
    <w:rsid w:val="0098266F"/>
    <w:rsid w:val="00991884"/>
    <w:rsid w:val="009929E4"/>
    <w:rsid w:val="009930FF"/>
    <w:rsid w:val="00993D5F"/>
    <w:rsid w:val="009A4B72"/>
    <w:rsid w:val="009B2D90"/>
    <w:rsid w:val="009C2EEB"/>
    <w:rsid w:val="009E4EF0"/>
    <w:rsid w:val="009F004D"/>
    <w:rsid w:val="009F62C3"/>
    <w:rsid w:val="009F6328"/>
    <w:rsid w:val="009F7E71"/>
    <w:rsid w:val="00A01B7F"/>
    <w:rsid w:val="00A0245E"/>
    <w:rsid w:val="00A06019"/>
    <w:rsid w:val="00A10DAB"/>
    <w:rsid w:val="00A14AD2"/>
    <w:rsid w:val="00A54F1E"/>
    <w:rsid w:val="00A561E7"/>
    <w:rsid w:val="00A5667A"/>
    <w:rsid w:val="00A64793"/>
    <w:rsid w:val="00A7089B"/>
    <w:rsid w:val="00A752A6"/>
    <w:rsid w:val="00A9320B"/>
    <w:rsid w:val="00A94F65"/>
    <w:rsid w:val="00AA03A3"/>
    <w:rsid w:val="00AA1BCC"/>
    <w:rsid w:val="00AA73A2"/>
    <w:rsid w:val="00AB2080"/>
    <w:rsid w:val="00AB50E6"/>
    <w:rsid w:val="00AD0CE4"/>
    <w:rsid w:val="00AD1407"/>
    <w:rsid w:val="00AD1980"/>
    <w:rsid w:val="00AD4B75"/>
    <w:rsid w:val="00AD591B"/>
    <w:rsid w:val="00AD693E"/>
    <w:rsid w:val="00AE4548"/>
    <w:rsid w:val="00AE7770"/>
    <w:rsid w:val="00AE7E72"/>
    <w:rsid w:val="00AF2AFE"/>
    <w:rsid w:val="00AF2D86"/>
    <w:rsid w:val="00AF42D4"/>
    <w:rsid w:val="00B047B0"/>
    <w:rsid w:val="00B21321"/>
    <w:rsid w:val="00B26D91"/>
    <w:rsid w:val="00B341FB"/>
    <w:rsid w:val="00B367C3"/>
    <w:rsid w:val="00B42A65"/>
    <w:rsid w:val="00B51ADC"/>
    <w:rsid w:val="00B56FA8"/>
    <w:rsid w:val="00B62D09"/>
    <w:rsid w:val="00B76A40"/>
    <w:rsid w:val="00B85294"/>
    <w:rsid w:val="00B91623"/>
    <w:rsid w:val="00B96DF5"/>
    <w:rsid w:val="00BA50DA"/>
    <w:rsid w:val="00BC1AB6"/>
    <w:rsid w:val="00BC344A"/>
    <w:rsid w:val="00BC6E24"/>
    <w:rsid w:val="00BD30A8"/>
    <w:rsid w:val="00BE1056"/>
    <w:rsid w:val="00BE1209"/>
    <w:rsid w:val="00BE2865"/>
    <w:rsid w:val="00BF4775"/>
    <w:rsid w:val="00BF69A8"/>
    <w:rsid w:val="00C146C3"/>
    <w:rsid w:val="00C3614B"/>
    <w:rsid w:val="00C37DF0"/>
    <w:rsid w:val="00C47117"/>
    <w:rsid w:val="00C57467"/>
    <w:rsid w:val="00C603BA"/>
    <w:rsid w:val="00C6116E"/>
    <w:rsid w:val="00C7305E"/>
    <w:rsid w:val="00C747F7"/>
    <w:rsid w:val="00C817C8"/>
    <w:rsid w:val="00CA18E2"/>
    <w:rsid w:val="00CB0379"/>
    <w:rsid w:val="00CC6CCA"/>
    <w:rsid w:val="00CE55BB"/>
    <w:rsid w:val="00D03FD5"/>
    <w:rsid w:val="00D079FD"/>
    <w:rsid w:val="00D07D5C"/>
    <w:rsid w:val="00D14520"/>
    <w:rsid w:val="00D24A55"/>
    <w:rsid w:val="00D26582"/>
    <w:rsid w:val="00D30D44"/>
    <w:rsid w:val="00D42CB5"/>
    <w:rsid w:val="00D5762C"/>
    <w:rsid w:val="00D643AD"/>
    <w:rsid w:val="00D77517"/>
    <w:rsid w:val="00D811A8"/>
    <w:rsid w:val="00DA23BA"/>
    <w:rsid w:val="00DA611C"/>
    <w:rsid w:val="00DD3213"/>
    <w:rsid w:val="00DD3475"/>
    <w:rsid w:val="00DE6E69"/>
    <w:rsid w:val="00DF3BCC"/>
    <w:rsid w:val="00E03E56"/>
    <w:rsid w:val="00E042B3"/>
    <w:rsid w:val="00E0676C"/>
    <w:rsid w:val="00E23BDE"/>
    <w:rsid w:val="00E2491B"/>
    <w:rsid w:val="00E253AB"/>
    <w:rsid w:val="00E25957"/>
    <w:rsid w:val="00E26F33"/>
    <w:rsid w:val="00E4410D"/>
    <w:rsid w:val="00E5027D"/>
    <w:rsid w:val="00E60DDD"/>
    <w:rsid w:val="00E64A56"/>
    <w:rsid w:val="00E6577D"/>
    <w:rsid w:val="00E72AAE"/>
    <w:rsid w:val="00E821B6"/>
    <w:rsid w:val="00E96B66"/>
    <w:rsid w:val="00EA1D6A"/>
    <w:rsid w:val="00EA2351"/>
    <w:rsid w:val="00EA64CC"/>
    <w:rsid w:val="00EB275C"/>
    <w:rsid w:val="00EB564C"/>
    <w:rsid w:val="00EC4462"/>
    <w:rsid w:val="00ED29F6"/>
    <w:rsid w:val="00EE1608"/>
    <w:rsid w:val="00EE604F"/>
    <w:rsid w:val="00EF7743"/>
    <w:rsid w:val="00F01398"/>
    <w:rsid w:val="00F02050"/>
    <w:rsid w:val="00F14A2A"/>
    <w:rsid w:val="00F216FA"/>
    <w:rsid w:val="00F43B74"/>
    <w:rsid w:val="00F44DBE"/>
    <w:rsid w:val="00F556CB"/>
    <w:rsid w:val="00F5660D"/>
    <w:rsid w:val="00F56AE6"/>
    <w:rsid w:val="00F63062"/>
    <w:rsid w:val="00F65F8A"/>
    <w:rsid w:val="00F731E2"/>
    <w:rsid w:val="00F816CF"/>
    <w:rsid w:val="00F840EA"/>
    <w:rsid w:val="00F86E87"/>
    <w:rsid w:val="00FB36C2"/>
    <w:rsid w:val="00FB4DF3"/>
    <w:rsid w:val="00FC168A"/>
    <w:rsid w:val="00FC2E49"/>
    <w:rsid w:val="00FC51D4"/>
    <w:rsid w:val="00FC72BE"/>
    <w:rsid w:val="00FD1B5B"/>
    <w:rsid w:val="00FD7D0E"/>
    <w:rsid w:val="00FF6C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A591E"/>
  <w15:docId w15:val="{7B93FB60-90D4-4CB2-976C-E0745DCA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6577D"/>
    <w:pPr>
      <w:autoSpaceDE w:val="0"/>
      <w:autoSpaceDN w:val="0"/>
      <w:jc w:val="both"/>
    </w:pPr>
    <w:rPr>
      <w:sz w:val="24"/>
    </w:rPr>
  </w:style>
  <w:style w:type="paragraph" w:styleId="Cmsor1">
    <w:name w:val="heading 1"/>
    <w:basedOn w:val="Norml"/>
    <w:next w:val="Norml"/>
    <w:link w:val="Cmsor1Char"/>
    <w:qFormat/>
    <w:rsid w:val="00435EE8"/>
    <w:pPr>
      <w:keepNext/>
      <w:widowControl w:val="0"/>
      <w:spacing w:before="120" w:after="120"/>
      <w:jc w:val="center"/>
      <w:outlineLvl w:val="0"/>
    </w:pPr>
    <w:rPr>
      <w:b/>
      <w:bCs/>
      <w:sz w:val="32"/>
    </w:rPr>
  </w:style>
  <w:style w:type="paragraph" w:styleId="Cmsor3">
    <w:name w:val="heading 3"/>
    <w:basedOn w:val="Norml"/>
    <w:next w:val="Norml"/>
    <w:qFormat/>
    <w:rsid w:val="00301A70"/>
    <w:pPr>
      <w:keepNext/>
      <w:widowControl w:val="0"/>
      <w:jc w:val="center"/>
      <w:outlineLvl w:val="2"/>
    </w:pPr>
    <w:rPr>
      <w:sz w:val="30"/>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35EE8"/>
    <w:rPr>
      <w:b/>
      <w:bCs/>
      <w:sz w:val="32"/>
      <w:lang w:val="hu-HU" w:eastAsia="hu-HU" w:bidi="ar-SA"/>
    </w:rPr>
  </w:style>
  <w:style w:type="paragraph" w:styleId="TJ1">
    <w:name w:val="toc 1"/>
    <w:basedOn w:val="Norml"/>
    <w:next w:val="Norml"/>
    <w:autoRedefine/>
    <w:uiPriority w:val="39"/>
    <w:rsid w:val="00301A70"/>
    <w:pPr>
      <w:widowControl w:val="0"/>
      <w:spacing w:before="120"/>
    </w:pPr>
    <w:rPr>
      <w:b/>
      <w:bCs/>
      <w:i/>
      <w:iCs/>
      <w:szCs w:val="24"/>
    </w:rPr>
  </w:style>
  <w:style w:type="paragraph" w:styleId="llb">
    <w:name w:val="footer"/>
    <w:basedOn w:val="Norml"/>
    <w:rsid w:val="00301A70"/>
    <w:pPr>
      <w:widowControl w:val="0"/>
      <w:tabs>
        <w:tab w:val="center" w:pos="4536"/>
        <w:tab w:val="right" w:pos="9072"/>
      </w:tabs>
    </w:pPr>
  </w:style>
  <w:style w:type="paragraph" w:styleId="lfej">
    <w:name w:val="header"/>
    <w:basedOn w:val="Norml"/>
    <w:rsid w:val="00301A70"/>
    <w:pPr>
      <w:tabs>
        <w:tab w:val="center" w:pos="4536"/>
        <w:tab w:val="right" w:pos="9072"/>
      </w:tabs>
    </w:pPr>
    <w:rPr>
      <w:szCs w:val="24"/>
    </w:rPr>
  </w:style>
  <w:style w:type="paragraph" w:styleId="Buborkszveg">
    <w:name w:val="Balloon Text"/>
    <w:basedOn w:val="Norml"/>
    <w:semiHidden/>
    <w:rsid w:val="00301A70"/>
    <w:rPr>
      <w:rFonts w:ascii="Tahoma" w:hAnsi="Tahoma" w:cs="Tahoma"/>
      <w:sz w:val="16"/>
      <w:szCs w:val="16"/>
    </w:rPr>
  </w:style>
  <w:style w:type="character" w:styleId="Jegyzethivatkozs">
    <w:name w:val="annotation reference"/>
    <w:basedOn w:val="Bekezdsalapbettpusa"/>
    <w:semiHidden/>
    <w:rsid w:val="00301A70"/>
    <w:rPr>
      <w:sz w:val="16"/>
      <w:szCs w:val="16"/>
    </w:rPr>
  </w:style>
  <w:style w:type="paragraph" w:styleId="Jegyzetszveg">
    <w:name w:val="annotation text"/>
    <w:basedOn w:val="Norml"/>
    <w:semiHidden/>
    <w:rsid w:val="00301A70"/>
  </w:style>
  <w:style w:type="paragraph" w:styleId="Megjegyzstrgya">
    <w:name w:val="annotation subject"/>
    <w:basedOn w:val="Jegyzetszveg"/>
    <w:next w:val="Jegyzetszveg"/>
    <w:semiHidden/>
    <w:rsid w:val="00EA2351"/>
    <w:rPr>
      <w:b/>
      <w:bCs/>
    </w:rPr>
  </w:style>
  <w:style w:type="paragraph" w:customStyle="1" w:styleId="cmoldal">
    <w:name w:val="címoldal"/>
    <w:basedOn w:val="Norml"/>
    <w:rsid w:val="004076AB"/>
    <w:pPr>
      <w:spacing w:after="5400"/>
      <w:jc w:val="center"/>
    </w:pPr>
    <w:rPr>
      <w:b/>
      <w:bCs/>
      <w:sz w:val="28"/>
    </w:rPr>
  </w:style>
  <w:style w:type="paragraph" w:customStyle="1" w:styleId="cmoldalmegjegyzs">
    <w:name w:val="címoldal_megjegyzés"/>
    <w:basedOn w:val="Norml"/>
    <w:rsid w:val="00435EE8"/>
    <w:pPr>
      <w:jc w:val="center"/>
    </w:pPr>
  </w:style>
  <w:style w:type="paragraph" w:customStyle="1" w:styleId="paragrafus">
    <w:name w:val="paragrafus"/>
    <w:basedOn w:val="Norml"/>
    <w:next w:val="Norml"/>
    <w:rsid w:val="00435EE8"/>
    <w:pPr>
      <w:spacing w:before="120" w:after="120"/>
      <w:jc w:val="center"/>
    </w:pPr>
    <w:rPr>
      <w:b/>
      <w:bCs/>
      <w:sz w:val="32"/>
    </w:rPr>
  </w:style>
  <w:style w:type="table" w:styleId="Rcsostblzat">
    <w:name w:val="Table Grid"/>
    <w:basedOn w:val="Normltblzat"/>
    <w:rsid w:val="00E64A56"/>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rs">
    <w:name w:val="aláírás"/>
    <w:basedOn w:val="Norml"/>
    <w:rsid w:val="00E042B3"/>
    <w:pPr>
      <w:jc w:val="center"/>
    </w:pPr>
  </w:style>
  <w:style w:type="paragraph" w:customStyle="1" w:styleId="1aifelsorolsutn">
    <w:name w:val="1/a/i felsorolás után"/>
    <w:basedOn w:val="Norml"/>
    <w:rsid w:val="00E60DDD"/>
    <w:pPr>
      <w:ind w:left="360"/>
    </w:pPr>
  </w:style>
  <w:style w:type="paragraph" w:customStyle="1" w:styleId="helydtum">
    <w:name w:val="hely/dátum"/>
    <w:basedOn w:val="Norml"/>
    <w:next w:val="Norml"/>
    <w:rsid w:val="00946E37"/>
    <w:pPr>
      <w:spacing w:before="720" w:after="720"/>
      <w:jc w:val="left"/>
    </w:pPr>
  </w:style>
  <w:style w:type="numbering" w:styleId="1ai">
    <w:name w:val="Outline List 1"/>
    <w:basedOn w:val="Nemlista"/>
    <w:rsid w:val="00D30D44"/>
    <w:pPr>
      <w:numPr>
        <w:numId w:val="8"/>
      </w:numPr>
    </w:pPr>
  </w:style>
  <w:style w:type="paragraph" w:styleId="NormlWeb">
    <w:name w:val="Normal (Web)"/>
    <w:basedOn w:val="Norml"/>
    <w:rsid w:val="00827AC1"/>
    <w:pPr>
      <w:autoSpaceDE/>
      <w:autoSpaceDN/>
      <w:spacing w:before="100" w:beforeAutospacing="1" w:after="100" w:afterAutospacing="1"/>
      <w:jc w:val="left"/>
    </w:pPr>
    <w:rPr>
      <w:szCs w:val="24"/>
    </w:rPr>
  </w:style>
  <w:style w:type="paragraph" w:styleId="Tartalomjegyzkcmsora">
    <w:name w:val="TOC Heading"/>
    <w:basedOn w:val="Cmsor1"/>
    <w:next w:val="Norml"/>
    <w:qFormat/>
    <w:rsid w:val="009A4B72"/>
    <w:pPr>
      <w:keepLines/>
      <w:widowControl/>
      <w:autoSpaceDE/>
      <w:autoSpaceDN/>
      <w:spacing w:before="480" w:after="0" w:line="276" w:lineRule="auto"/>
      <w:jc w:val="left"/>
      <w:outlineLvl w:val="9"/>
    </w:pPr>
    <w:rPr>
      <w:rFonts w:ascii="Cambria" w:hAnsi="Cambria"/>
      <w:color w:val="365F91"/>
      <w:sz w:val="28"/>
      <w:szCs w:val="28"/>
      <w:lang w:eastAsia="en-US"/>
    </w:rPr>
  </w:style>
  <w:style w:type="character" w:styleId="Hiperhivatkozs">
    <w:name w:val="Hyperlink"/>
    <w:basedOn w:val="Bekezdsalapbettpusa"/>
    <w:uiPriority w:val="99"/>
    <w:unhideWhenUsed/>
    <w:rsid w:val="009A4B72"/>
    <w:rPr>
      <w:color w:val="0000FF"/>
      <w:u w:val="single"/>
    </w:rPr>
  </w:style>
  <w:style w:type="paragraph" w:styleId="Listaszerbekezds">
    <w:name w:val="List Paragraph"/>
    <w:basedOn w:val="Norml"/>
    <w:uiPriority w:val="34"/>
    <w:qFormat/>
    <w:rsid w:val="00EC4462"/>
    <w:pPr>
      <w:ind w:left="720"/>
      <w:contextualSpacing/>
    </w:pPr>
  </w:style>
  <w:style w:type="paragraph" w:styleId="Vltozat">
    <w:name w:val="Revision"/>
    <w:hidden/>
    <w:uiPriority w:val="99"/>
    <w:semiHidden/>
    <w:rsid w:val="00523289"/>
    <w:rPr>
      <w:sz w:val="24"/>
    </w:rPr>
  </w:style>
  <w:style w:type="paragraph" w:styleId="Lbjegyzetszveg">
    <w:name w:val="footnote text"/>
    <w:basedOn w:val="Norml"/>
    <w:link w:val="LbjegyzetszvegChar"/>
    <w:semiHidden/>
    <w:unhideWhenUsed/>
    <w:rsid w:val="008614E5"/>
    <w:rPr>
      <w:sz w:val="20"/>
    </w:rPr>
  </w:style>
  <w:style w:type="character" w:customStyle="1" w:styleId="LbjegyzetszvegChar">
    <w:name w:val="Lábjegyzetszöveg Char"/>
    <w:basedOn w:val="Bekezdsalapbettpusa"/>
    <w:link w:val="Lbjegyzetszveg"/>
    <w:semiHidden/>
    <w:rsid w:val="008614E5"/>
  </w:style>
  <w:style w:type="character" w:styleId="Lbjegyzet-hivatkozs">
    <w:name w:val="footnote reference"/>
    <w:basedOn w:val="Bekezdsalapbettpusa"/>
    <w:semiHidden/>
    <w:unhideWhenUsed/>
    <w:rsid w:val="00861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EB58-CD07-4CFB-8EDD-AE87FEB9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5360</Words>
  <Characters>34577</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BUDAPESTI MŰSZAKI ÉS GAZDASÁGTUDOMÁNYI EGYETEM</vt:lpstr>
    </vt:vector>
  </TitlesOfParts>
  <Company>GMF</Company>
  <LinksUpToDate>false</LinksUpToDate>
  <CharactersWithSpaces>39858</CharactersWithSpaces>
  <SharedDoc>false</SharedDoc>
  <HLinks>
    <vt:vector size="108" baseType="variant">
      <vt:variant>
        <vt:i4>1179700</vt:i4>
      </vt:variant>
      <vt:variant>
        <vt:i4>104</vt:i4>
      </vt:variant>
      <vt:variant>
        <vt:i4>0</vt:i4>
      </vt:variant>
      <vt:variant>
        <vt:i4>5</vt:i4>
      </vt:variant>
      <vt:variant>
        <vt:lpwstr/>
      </vt:variant>
      <vt:variant>
        <vt:lpwstr>_Toc260204658</vt:lpwstr>
      </vt:variant>
      <vt:variant>
        <vt:i4>1179700</vt:i4>
      </vt:variant>
      <vt:variant>
        <vt:i4>98</vt:i4>
      </vt:variant>
      <vt:variant>
        <vt:i4>0</vt:i4>
      </vt:variant>
      <vt:variant>
        <vt:i4>5</vt:i4>
      </vt:variant>
      <vt:variant>
        <vt:lpwstr/>
      </vt:variant>
      <vt:variant>
        <vt:lpwstr>_Toc260204657</vt:lpwstr>
      </vt:variant>
      <vt:variant>
        <vt:i4>1179700</vt:i4>
      </vt:variant>
      <vt:variant>
        <vt:i4>92</vt:i4>
      </vt:variant>
      <vt:variant>
        <vt:i4>0</vt:i4>
      </vt:variant>
      <vt:variant>
        <vt:i4>5</vt:i4>
      </vt:variant>
      <vt:variant>
        <vt:lpwstr/>
      </vt:variant>
      <vt:variant>
        <vt:lpwstr>_Toc260204656</vt:lpwstr>
      </vt:variant>
      <vt:variant>
        <vt:i4>1179700</vt:i4>
      </vt:variant>
      <vt:variant>
        <vt:i4>86</vt:i4>
      </vt:variant>
      <vt:variant>
        <vt:i4>0</vt:i4>
      </vt:variant>
      <vt:variant>
        <vt:i4>5</vt:i4>
      </vt:variant>
      <vt:variant>
        <vt:lpwstr/>
      </vt:variant>
      <vt:variant>
        <vt:lpwstr>_Toc260204655</vt:lpwstr>
      </vt:variant>
      <vt:variant>
        <vt:i4>1179700</vt:i4>
      </vt:variant>
      <vt:variant>
        <vt:i4>80</vt:i4>
      </vt:variant>
      <vt:variant>
        <vt:i4>0</vt:i4>
      </vt:variant>
      <vt:variant>
        <vt:i4>5</vt:i4>
      </vt:variant>
      <vt:variant>
        <vt:lpwstr/>
      </vt:variant>
      <vt:variant>
        <vt:lpwstr>_Toc260204654</vt:lpwstr>
      </vt:variant>
      <vt:variant>
        <vt:i4>1179700</vt:i4>
      </vt:variant>
      <vt:variant>
        <vt:i4>74</vt:i4>
      </vt:variant>
      <vt:variant>
        <vt:i4>0</vt:i4>
      </vt:variant>
      <vt:variant>
        <vt:i4>5</vt:i4>
      </vt:variant>
      <vt:variant>
        <vt:lpwstr/>
      </vt:variant>
      <vt:variant>
        <vt:lpwstr>_Toc260204653</vt:lpwstr>
      </vt:variant>
      <vt:variant>
        <vt:i4>1179700</vt:i4>
      </vt:variant>
      <vt:variant>
        <vt:i4>68</vt:i4>
      </vt:variant>
      <vt:variant>
        <vt:i4>0</vt:i4>
      </vt:variant>
      <vt:variant>
        <vt:i4>5</vt:i4>
      </vt:variant>
      <vt:variant>
        <vt:lpwstr/>
      </vt:variant>
      <vt:variant>
        <vt:lpwstr>_Toc260204652</vt:lpwstr>
      </vt:variant>
      <vt:variant>
        <vt:i4>1179700</vt:i4>
      </vt:variant>
      <vt:variant>
        <vt:i4>62</vt:i4>
      </vt:variant>
      <vt:variant>
        <vt:i4>0</vt:i4>
      </vt:variant>
      <vt:variant>
        <vt:i4>5</vt:i4>
      </vt:variant>
      <vt:variant>
        <vt:lpwstr/>
      </vt:variant>
      <vt:variant>
        <vt:lpwstr>_Toc260204651</vt:lpwstr>
      </vt:variant>
      <vt:variant>
        <vt:i4>1179700</vt:i4>
      </vt:variant>
      <vt:variant>
        <vt:i4>56</vt:i4>
      </vt:variant>
      <vt:variant>
        <vt:i4>0</vt:i4>
      </vt:variant>
      <vt:variant>
        <vt:i4>5</vt:i4>
      </vt:variant>
      <vt:variant>
        <vt:lpwstr/>
      </vt:variant>
      <vt:variant>
        <vt:lpwstr>_Toc260204650</vt:lpwstr>
      </vt:variant>
      <vt:variant>
        <vt:i4>1245236</vt:i4>
      </vt:variant>
      <vt:variant>
        <vt:i4>50</vt:i4>
      </vt:variant>
      <vt:variant>
        <vt:i4>0</vt:i4>
      </vt:variant>
      <vt:variant>
        <vt:i4>5</vt:i4>
      </vt:variant>
      <vt:variant>
        <vt:lpwstr/>
      </vt:variant>
      <vt:variant>
        <vt:lpwstr>_Toc260204649</vt:lpwstr>
      </vt:variant>
      <vt:variant>
        <vt:i4>1245236</vt:i4>
      </vt:variant>
      <vt:variant>
        <vt:i4>44</vt:i4>
      </vt:variant>
      <vt:variant>
        <vt:i4>0</vt:i4>
      </vt:variant>
      <vt:variant>
        <vt:i4>5</vt:i4>
      </vt:variant>
      <vt:variant>
        <vt:lpwstr/>
      </vt:variant>
      <vt:variant>
        <vt:lpwstr>_Toc260204648</vt:lpwstr>
      </vt:variant>
      <vt:variant>
        <vt:i4>1245236</vt:i4>
      </vt:variant>
      <vt:variant>
        <vt:i4>38</vt:i4>
      </vt:variant>
      <vt:variant>
        <vt:i4>0</vt:i4>
      </vt:variant>
      <vt:variant>
        <vt:i4>5</vt:i4>
      </vt:variant>
      <vt:variant>
        <vt:lpwstr/>
      </vt:variant>
      <vt:variant>
        <vt:lpwstr>_Toc260204647</vt:lpwstr>
      </vt:variant>
      <vt:variant>
        <vt:i4>1245236</vt:i4>
      </vt:variant>
      <vt:variant>
        <vt:i4>32</vt:i4>
      </vt:variant>
      <vt:variant>
        <vt:i4>0</vt:i4>
      </vt:variant>
      <vt:variant>
        <vt:i4>5</vt:i4>
      </vt:variant>
      <vt:variant>
        <vt:lpwstr/>
      </vt:variant>
      <vt:variant>
        <vt:lpwstr>_Toc260204646</vt:lpwstr>
      </vt:variant>
      <vt:variant>
        <vt:i4>1245236</vt:i4>
      </vt:variant>
      <vt:variant>
        <vt:i4>26</vt:i4>
      </vt:variant>
      <vt:variant>
        <vt:i4>0</vt:i4>
      </vt:variant>
      <vt:variant>
        <vt:i4>5</vt:i4>
      </vt:variant>
      <vt:variant>
        <vt:lpwstr/>
      </vt:variant>
      <vt:variant>
        <vt:lpwstr>_Toc260204645</vt:lpwstr>
      </vt:variant>
      <vt:variant>
        <vt:i4>1245236</vt:i4>
      </vt:variant>
      <vt:variant>
        <vt:i4>20</vt:i4>
      </vt:variant>
      <vt:variant>
        <vt:i4>0</vt:i4>
      </vt:variant>
      <vt:variant>
        <vt:i4>5</vt:i4>
      </vt:variant>
      <vt:variant>
        <vt:lpwstr/>
      </vt:variant>
      <vt:variant>
        <vt:lpwstr>_Toc260204644</vt:lpwstr>
      </vt:variant>
      <vt:variant>
        <vt:i4>1245236</vt:i4>
      </vt:variant>
      <vt:variant>
        <vt:i4>14</vt:i4>
      </vt:variant>
      <vt:variant>
        <vt:i4>0</vt:i4>
      </vt:variant>
      <vt:variant>
        <vt:i4>5</vt:i4>
      </vt:variant>
      <vt:variant>
        <vt:lpwstr/>
      </vt:variant>
      <vt:variant>
        <vt:lpwstr>_Toc260204643</vt:lpwstr>
      </vt:variant>
      <vt:variant>
        <vt:i4>1245236</vt:i4>
      </vt:variant>
      <vt:variant>
        <vt:i4>8</vt:i4>
      </vt:variant>
      <vt:variant>
        <vt:i4>0</vt:i4>
      </vt:variant>
      <vt:variant>
        <vt:i4>5</vt:i4>
      </vt:variant>
      <vt:variant>
        <vt:lpwstr/>
      </vt:variant>
      <vt:variant>
        <vt:lpwstr>_Toc260204642</vt:lpwstr>
      </vt:variant>
      <vt:variant>
        <vt:i4>1245236</vt:i4>
      </vt:variant>
      <vt:variant>
        <vt:i4>2</vt:i4>
      </vt:variant>
      <vt:variant>
        <vt:i4>0</vt:i4>
      </vt:variant>
      <vt:variant>
        <vt:i4>5</vt:i4>
      </vt:variant>
      <vt:variant>
        <vt:lpwstr/>
      </vt:variant>
      <vt:variant>
        <vt:lpwstr>_Toc260204641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ÉS GAZDASÁGTUDOMÁNYI EGYETEM</dc:title>
  <dc:creator>BME</dc:creator>
  <cp:lastModifiedBy>Kiss Andrea</cp:lastModifiedBy>
  <cp:revision>4</cp:revision>
  <cp:lastPrinted>2019-07-05T06:51:00Z</cp:lastPrinted>
  <dcterms:created xsi:type="dcterms:W3CDTF">2021-01-06T10:47:00Z</dcterms:created>
  <dcterms:modified xsi:type="dcterms:W3CDTF">2021-04-22T14:22:00Z</dcterms:modified>
</cp:coreProperties>
</file>